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87" w:rsidRDefault="002649AB" w:rsidP="003F1287">
      <w:pPr>
        <w:ind w:left="450" w:right="-180" w:hanging="450"/>
      </w:pPr>
      <w:r>
        <w:t>1</w:t>
      </w:r>
      <w:r w:rsidR="003F1287">
        <w:t>.</w:t>
      </w:r>
      <w:r w:rsidR="003F1287">
        <w:tab/>
        <w:t>Which of the following is a disadvantage of a corporate form of business?</w:t>
      </w:r>
    </w:p>
    <w:p w:rsidR="003F1287" w:rsidRDefault="009E263A" w:rsidP="003F1287">
      <w:pPr>
        <w:ind w:left="900" w:hanging="450"/>
      </w:pPr>
      <w:r>
        <w:t>A</w:t>
      </w:r>
      <w:r w:rsidR="003F1287">
        <w:t>.</w:t>
      </w:r>
      <w:r w:rsidR="003F1287">
        <w:tab/>
        <w:t>Limited liability</w:t>
      </w:r>
    </w:p>
    <w:p w:rsidR="003F1287" w:rsidRDefault="009E263A" w:rsidP="003F1287">
      <w:pPr>
        <w:ind w:left="900" w:hanging="450"/>
      </w:pPr>
      <w:r>
        <w:t>B</w:t>
      </w:r>
      <w:r w:rsidR="003F1287">
        <w:t>.</w:t>
      </w:r>
      <w:r w:rsidR="003F1287">
        <w:tab/>
        <w:t>Transferability of ownership</w:t>
      </w:r>
    </w:p>
    <w:p w:rsidR="003F1287" w:rsidRDefault="009E263A" w:rsidP="003F1287">
      <w:pPr>
        <w:ind w:left="900" w:hanging="450"/>
      </w:pPr>
      <w:r>
        <w:t>D.</w:t>
      </w:r>
      <w:r>
        <w:tab/>
        <w:t>Lack of regulation</w:t>
      </w:r>
    </w:p>
    <w:p w:rsidR="003F1287" w:rsidRDefault="009E263A" w:rsidP="003F1287">
      <w:pPr>
        <w:ind w:left="900" w:hanging="450"/>
      </w:pPr>
      <w:r>
        <w:t>D</w:t>
      </w:r>
      <w:r w:rsidR="003F1287">
        <w:t>.</w:t>
      </w:r>
      <w:r w:rsidR="003F1287">
        <w:tab/>
      </w:r>
      <w:r>
        <w:t>Double taxation</w:t>
      </w:r>
      <w:r w:rsidR="003F1287">
        <w:t xml:space="preserve">  </w:t>
      </w:r>
    </w:p>
    <w:p w:rsidR="003F1287" w:rsidRDefault="003F1287" w:rsidP="003F1287"/>
    <w:p w:rsidR="00312C49" w:rsidRDefault="00312C49"/>
    <w:p w:rsidR="003F1287" w:rsidRDefault="002649AB" w:rsidP="003F1287">
      <w:pPr>
        <w:ind w:left="450" w:right="-180" w:hanging="450"/>
      </w:pPr>
      <w:r>
        <w:t>2</w:t>
      </w:r>
      <w:r w:rsidR="003F1287">
        <w:t>.</w:t>
      </w:r>
      <w:r w:rsidR="003F1287">
        <w:tab/>
      </w:r>
      <w:r w:rsidR="009E263A">
        <w:t>A corporation may have</w:t>
      </w:r>
      <w:r w:rsidR="003F1287">
        <w:t xml:space="preserve"> more shares of stock</w:t>
      </w:r>
      <w:r w:rsidR="009E263A">
        <w:t xml:space="preserve"> issued</w:t>
      </w:r>
      <w:r w:rsidR="003F1287">
        <w:t xml:space="preserve"> than it has </w:t>
      </w:r>
      <w:r w:rsidR="003F1287" w:rsidRPr="009E263A">
        <w:t>outstanding.</w:t>
      </w:r>
      <w:r w:rsidR="003F1287">
        <w:t xml:space="preserve">  This statement is  </w:t>
      </w:r>
    </w:p>
    <w:p w:rsidR="003F1287" w:rsidRDefault="009E263A" w:rsidP="003F1287">
      <w:pPr>
        <w:ind w:left="900" w:hanging="450"/>
      </w:pPr>
      <w:r>
        <w:t>A</w:t>
      </w:r>
      <w:r w:rsidR="003F1287">
        <w:t>.</w:t>
      </w:r>
      <w:r w:rsidR="003F1287">
        <w:tab/>
        <w:t>true.</w:t>
      </w:r>
    </w:p>
    <w:p w:rsidR="003F1287" w:rsidRDefault="009E263A" w:rsidP="003F1287">
      <w:pPr>
        <w:ind w:left="900" w:hanging="450"/>
      </w:pPr>
      <w:r>
        <w:t>B</w:t>
      </w:r>
      <w:r w:rsidR="003F1287">
        <w:t>.</w:t>
      </w:r>
      <w:r w:rsidR="003F1287">
        <w:tab/>
        <w:t>false.</w:t>
      </w:r>
    </w:p>
    <w:p w:rsidR="003F1287" w:rsidRDefault="003F1287"/>
    <w:p w:rsidR="009E263A" w:rsidRDefault="009E263A"/>
    <w:p w:rsidR="003F1287" w:rsidRDefault="003F1287" w:rsidP="003F1287">
      <w:pPr>
        <w:ind w:left="450" w:right="-180" w:hanging="450"/>
      </w:pPr>
      <w:r>
        <w:t>3.</w:t>
      </w:r>
      <w:r>
        <w:tab/>
        <w:t xml:space="preserve">Which of the following is not a common characteristic associated with preferred stock? </w:t>
      </w:r>
    </w:p>
    <w:p w:rsidR="003F1287" w:rsidRDefault="009E263A" w:rsidP="003F1287">
      <w:pPr>
        <w:ind w:left="900" w:hanging="450"/>
      </w:pPr>
      <w:r>
        <w:t>A.</w:t>
      </w:r>
      <w:r>
        <w:tab/>
        <w:t>Voting rights</w:t>
      </w:r>
    </w:p>
    <w:p w:rsidR="003F1287" w:rsidRDefault="009E263A" w:rsidP="003F1287">
      <w:pPr>
        <w:ind w:left="900" w:hanging="450"/>
      </w:pPr>
      <w:r>
        <w:t>B</w:t>
      </w:r>
      <w:r w:rsidR="003F1287">
        <w:t>.</w:t>
      </w:r>
      <w:r w:rsidR="003F1287">
        <w:tab/>
        <w:t>Cumulative dividends</w:t>
      </w:r>
    </w:p>
    <w:p w:rsidR="003F1287" w:rsidRDefault="009E263A" w:rsidP="003F1287">
      <w:pPr>
        <w:ind w:left="900" w:hanging="450"/>
      </w:pPr>
      <w:r>
        <w:t>C.</w:t>
      </w:r>
      <w:r>
        <w:tab/>
        <w:t>Priority in business liquidations</w:t>
      </w:r>
    </w:p>
    <w:p w:rsidR="003F1287" w:rsidRDefault="009E263A" w:rsidP="003F1287">
      <w:pPr>
        <w:ind w:left="900" w:hanging="450"/>
      </w:pPr>
      <w:r>
        <w:t>D.</w:t>
      </w:r>
      <w:r>
        <w:tab/>
        <w:t>Predetermined</w:t>
      </w:r>
      <w:r w:rsidR="003F1287">
        <w:t xml:space="preserve"> dividends</w:t>
      </w:r>
    </w:p>
    <w:p w:rsidR="003F1287" w:rsidRDefault="003F1287"/>
    <w:p w:rsidR="009E263A" w:rsidRDefault="009E263A"/>
    <w:p w:rsidR="003F1287" w:rsidRDefault="002649AB" w:rsidP="003F1287">
      <w:pPr>
        <w:ind w:left="450" w:right="-180" w:hanging="450"/>
      </w:pPr>
      <w:r>
        <w:t>4</w:t>
      </w:r>
      <w:r w:rsidR="009E263A">
        <w:t>.</w:t>
      </w:r>
      <w:r w:rsidR="009E263A">
        <w:tab/>
        <w:t>Wilson</w:t>
      </w:r>
      <w:r w:rsidR="003F1287" w:rsidRPr="00D42E3E">
        <w:t xml:space="preserve"> Corporation was </w:t>
      </w:r>
      <w:r w:rsidR="003F1287">
        <w:t>established</w:t>
      </w:r>
      <w:r w:rsidR="003F1287" w:rsidRPr="00D42E3E">
        <w:t xml:space="preserve"> </w:t>
      </w:r>
      <w:r w:rsidR="009E263A">
        <w:t>on January 1, 2015</w:t>
      </w:r>
      <w:r w:rsidR="003F1287">
        <w:t xml:space="preserve"> when</w:t>
      </w:r>
      <w:r w:rsidR="003F1287" w:rsidRPr="00D42E3E">
        <w:t xml:space="preserve"> </w:t>
      </w:r>
      <w:r w:rsidR="003F1287">
        <w:t>it issued 2</w:t>
      </w:r>
      <w:r w:rsidR="003F1287" w:rsidRPr="00D42E3E">
        <w:t xml:space="preserve">0,000 shares of $50 par, 5 percent, </w:t>
      </w:r>
      <w:r w:rsidR="003F1287" w:rsidRPr="00066742">
        <w:rPr>
          <w:b/>
          <w:i/>
        </w:rPr>
        <w:t>cumulative</w:t>
      </w:r>
      <w:r w:rsidR="003F1287">
        <w:t xml:space="preserve"> preferred stock and 30</w:t>
      </w:r>
      <w:r w:rsidR="003F1287" w:rsidRPr="00D42E3E">
        <w:t>,000 shares of $1</w:t>
      </w:r>
      <w:r w:rsidR="009E263A">
        <w:t>0 par common stock. The company declared the following dividends in 2015, 2016, and 2017</w:t>
      </w:r>
      <w:r w:rsidR="003F1287" w:rsidRPr="00D42E3E">
        <w:t xml:space="preserve">: </w:t>
      </w:r>
    </w:p>
    <w:p w:rsidR="003F1287" w:rsidRDefault="003F1287" w:rsidP="003F1287">
      <w:pPr>
        <w:ind w:left="450" w:right="-180"/>
      </w:pPr>
    </w:p>
    <w:tbl>
      <w:tblPr>
        <w:tblStyle w:val="TableGrid"/>
        <w:tblW w:w="0" w:type="auto"/>
        <w:tblInd w:w="1415" w:type="dxa"/>
        <w:tblLook w:val="04A0" w:firstRow="1" w:lastRow="0" w:firstColumn="1" w:lastColumn="0" w:noHBand="0" w:noVBand="1"/>
      </w:tblPr>
      <w:tblGrid>
        <w:gridCol w:w="1098"/>
        <w:gridCol w:w="2250"/>
      </w:tblGrid>
      <w:tr w:rsidR="003F1287" w:rsidTr="009E263A">
        <w:tc>
          <w:tcPr>
            <w:tcW w:w="1098" w:type="dxa"/>
          </w:tcPr>
          <w:p w:rsidR="003F1287" w:rsidRDefault="009E263A" w:rsidP="009E263A">
            <w:pPr>
              <w:ind w:right="-180"/>
            </w:pPr>
            <w:r>
              <w:t>2015</w:t>
            </w:r>
          </w:p>
        </w:tc>
        <w:tc>
          <w:tcPr>
            <w:tcW w:w="2250" w:type="dxa"/>
          </w:tcPr>
          <w:p w:rsidR="003F1287" w:rsidRDefault="009E263A" w:rsidP="009E263A">
            <w:pPr>
              <w:ind w:right="-180"/>
            </w:pPr>
            <w:r>
              <w:t>$0</w:t>
            </w:r>
          </w:p>
        </w:tc>
      </w:tr>
      <w:tr w:rsidR="003F1287" w:rsidTr="009E263A">
        <w:tc>
          <w:tcPr>
            <w:tcW w:w="1098" w:type="dxa"/>
          </w:tcPr>
          <w:p w:rsidR="003F1287" w:rsidRDefault="009E263A" w:rsidP="009E263A">
            <w:pPr>
              <w:ind w:right="-180"/>
            </w:pPr>
            <w:r>
              <w:t>2016</w:t>
            </w:r>
          </w:p>
        </w:tc>
        <w:tc>
          <w:tcPr>
            <w:tcW w:w="2250" w:type="dxa"/>
          </w:tcPr>
          <w:p w:rsidR="003F1287" w:rsidRDefault="009E263A" w:rsidP="009E263A">
            <w:pPr>
              <w:ind w:right="-180"/>
            </w:pPr>
            <w:r>
              <w:t>$</w:t>
            </w:r>
            <w:r w:rsidR="00066742">
              <w:t>40,000</w:t>
            </w:r>
          </w:p>
        </w:tc>
      </w:tr>
      <w:tr w:rsidR="003F1287" w:rsidTr="009E263A">
        <w:tc>
          <w:tcPr>
            <w:tcW w:w="1098" w:type="dxa"/>
          </w:tcPr>
          <w:p w:rsidR="003F1287" w:rsidRDefault="009E263A" w:rsidP="009E263A">
            <w:pPr>
              <w:ind w:right="-180"/>
            </w:pPr>
            <w:r>
              <w:t>2017</w:t>
            </w:r>
          </w:p>
        </w:tc>
        <w:tc>
          <w:tcPr>
            <w:tcW w:w="2250" w:type="dxa"/>
          </w:tcPr>
          <w:p w:rsidR="003F1287" w:rsidRDefault="003F1287" w:rsidP="009E263A">
            <w:pPr>
              <w:ind w:right="-180"/>
            </w:pPr>
            <w:r>
              <w:t>$</w:t>
            </w:r>
            <w:r w:rsidR="00066742">
              <w:t>90,000</w:t>
            </w:r>
          </w:p>
        </w:tc>
      </w:tr>
    </w:tbl>
    <w:p w:rsidR="003F1287" w:rsidRDefault="003F1287" w:rsidP="003F1287">
      <w:pPr>
        <w:ind w:left="450" w:right="-180"/>
      </w:pPr>
    </w:p>
    <w:p w:rsidR="003F1287" w:rsidRDefault="003F1287" w:rsidP="003F1287">
      <w:pPr>
        <w:ind w:left="450" w:right="-180"/>
      </w:pPr>
      <w:r>
        <w:t>The dividend paid to common s</w:t>
      </w:r>
      <w:r w:rsidR="00066742">
        <w:t>tockholders at the end of 2017</w:t>
      </w:r>
      <w:r>
        <w:t xml:space="preserve"> is</w:t>
      </w:r>
    </w:p>
    <w:p w:rsidR="003F1287" w:rsidRDefault="00066742" w:rsidP="003F1287">
      <w:pPr>
        <w:ind w:left="450" w:right="-180"/>
      </w:pPr>
      <w:r>
        <w:t>A</w:t>
      </w:r>
      <w:r w:rsidR="003F1287">
        <w:t>.</w:t>
      </w:r>
      <w:r w:rsidR="003F1287">
        <w:tab/>
        <w:t>zero.</w:t>
      </w:r>
    </w:p>
    <w:p w:rsidR="003F1287" w:rsidRDefault="00066742" w:rsidP="003F1287">
      <w:pPr>
        <w:ind w:left="450" w:right="-180"/>
      </w:pPr>
      <w:r>
        <w:t>B.</w:t>
      </w:r>
      <w:r>
        <w:tab/>
        <w:t>$3</w:t>
      </w:r>
      <w:r w:rsidR="003F1287">
        <w:t>0,000.</w:t>
      </w:r>
    </w:p>
    <w:p w:rsidR="003F1287" w:rsidRDefault="00066742" w:rsidP="003F1287">
      <w:pPr>
        <w:ind w:left="450" w:right="-180"/>
      </w:pPr>
      <w:r>
        <w:t>C</w:t>
      </w:r>
      <w:r w:rsidR="003F1287">
        <w:t>.</w:t>
      </w:r>
      <w:r w:rsidR="003F1287">
        <w:tab/>
        <w:t>$40,000.</w:t>
      </w:r>
    </w:p>
    <w:p w:rsidR="003F1287" w:rsidRPr="00D42E3E" w:rsidRDefault="00066742" w:rsidP="003F1287">
      <w:pPr>
        <w:ind w:left="450" w:right="-180"/>
      </w:pPr>
      <w:r>
        <w:t>D</w:t>
      </w:r>
      <w:r w:rsidR="005165BA">
        <w:t>.</w:t>
      </w:r>
      <w:r w:rsidR="005165BA">
        <w:tab/>
        <w:t>None of the above</w:t>
      </w:r>
      <w:r w:rsidR="003F1287">
        <w:t>.</w:t>
      </w:r>
    </w:p>
    <w:p w:rsidR="003F1287" w:rsidRDefault="003F1287" w:rsidP="003F1287">
      <w:pPr>
        <w:ind w:right="-180"/>
      </w:pPr>
    </w:p>
    <w:p w:rsidR="00066742" w:rsidRDefault="00066742" w:rsidP="00066742">
      <w:pPr>
        <w:ind w:left="450" w:right="-180" w:hanging="450"/>
      </w:pPr>
      <w:r>
        <w:t>5.</w:t>
      </w:r>
      <w:r>
        <w:tab/>
        <w:t>Wilson</w:t>
      </w:r>
      <w:r w:rsidRPr="00D42E3E">
        <w:t xml:space="preserve"> Corporation was </w:t>
      </w:r>
      <w:r>
        <w:t>established</w:t>
      </w:r>
      <w:r w:rsidRPr="00D42E3E">
        <w:t xml:space="preserve"> </w:t>
      </w:r>
      <w:r>
        <w:t>on January 1, 2015 when</w:t>
      </w:r>
      <w:r w:rsidRPr="00D42E3E">
        <w:t xml:space="preserve"> </w:t>
      </w:r>
      <w:r>
        <w:t>it issued 2</w:t>
      </w:r>
      <w:r w:rsidRPr="00D42E3E">
        <w:t xml:space="preserve">0,000 shares of $50 par, 5 percent, </w:t>
      </w:r>
      <w:r w:rsidR="005165BA">
        <w:rPr>
          <w:b/>
          <w:i/>
        </w:rPr>
        <w:t>non-</w:t>
      </w:r>
      <w:r w:rsidRPr="00066742">
        <w:rPr>
          <w:b/>
          <w:i/>
        </w:rPr>
        <w:t>cumulative</w:t>
      </w:r>
      <w:r>
        <w:t xml:space="preserve"> preferred stock and 30</w:t>
      </w:r>
      <w:r w:rsidRPr="00D42E3E">
        <w:t>,000 shares of $1</w:t>
      </w:r>
      <w:r>
        <w:t>0 par common stock. The company declared the following dividends in 2015, 2016, and 2017</w:t>
      </w:r>
      <w:r w:rsidRPr="00D42E3E">
        <w:t xml:space="preserve">: </w:t>
      </w:r>
    </w:p>
    <w:p w:rsidR="00066742" w:rsidRDefault="00066742" w:rsidP="00066742">
      <w:pPr>
        <w:ind w:left="450" w:right="-180"/>
      </w:pPr>
    </w:p>
    <w:tbl>
      <w:tblPr>
        <w:tblStyle w:val="TableGrid"/>
        <w:tblW w:w="0" w:type="auto"/>
        <w:tblInd w:w="1415" w:type="dxa"/>
        <w:tblLook w:val="04A0" w:firstRow="1" w:lastRow="0" w:firstColumn="1" w:lastColumn="0" w:noHBand="0" w:noVBand="1"/>
      </w:tblPr>
      <w:tblGrid>
        <w:gridCol w:w="1098"/>
        <w:gridCol w:w="2250"/>
      </w:tblGrid>
      <w:tr w:rsidR="00066742" w:rsidTr="002A06E6">
        <w:tc>
          <w:tcPr>
            <w:tcW w:w="1098" w:type="dxa"/>
          </w:tcPr>
          <w:p w:rsidR="00066742" w:rsidRDefault="00066742" w:rsidP="002A06E6">
            <w:pPr>
              <w:ind w:right="-180"/>
            </w:pPr>
            <w:r>
              <w:t>2015</w:t>
            </w:r>
          </w:p>
        </w:tc>
        <w:tc>
          <w:tcPr>
            <w:tcW w:w="2250" w:type="dxa"/>
          </w:tcPr>
          <w:p w:rsidR="00066742" w:rsidRDefault="00066742" w:rsidP="002A06E6">
            <w:pPr>
              <w:ind w:right="-180"/>
            </w:pPr>
            <w:r>
              <w:t>$0</w:t>
            </w:r>
          </w:p>
        </w:tc>
      </w:tr>
      <w:tr w:rsidR="00066742" w:rsidTr="002A06E6">
        <w:tc>
          <w:tcPr>
            <w:tcW w:w="1098" w:type="dxa"/>
          </w:tcPr>
          <w:p w:rsidR="00066742" w:rsidRDefault="00066742" w:rsidP="002A06E6">
            <w:pPr>
              <w:ind w:right="-180"/>
            </w:pPr>
            <w:r>
              <w:t>2016</w:t>
            </w:r>
          </w:p>
        </w:tc>
        <w:tc>
          <w:tcPr>
            <w:tcW w:w="2250" w:type="dxa"/>
          </w:tcPr>
          <w:p w:rsidR="00066742" w:rsidRDefault="00066742" w:rsidP="002A06E6">
            <w:pPr>
              <w:ind w:right="-180"/>
            </w:pPr>
            <w:r>
              <w:t>$40,000</w:t>
            </w:r>
          </w:p>
        </w:tc>
      </w:tr>
      <w:tr w:rsidR="00066742" w:rsidTr="002A06E6">
        <w:tc>
          <w:tcPr>
            <w:tcW w:w="1098" w:type="dxa"/>
          </w:tcPr>
          <w:p w:rsidR="00066742" w:rsidRDefault="00066742" w:rsidP="002A06E6">
            <w:pPr>
              <w:ind w:right="-180"/>
            </w:pPr>
            <w:r>
              <w:t>2017</w:t>
            </w:r>
          </w:p>
        </w:tc>
        <w:tc>
          <w:tcPr>
            <w:tcW w:w="2250" w:type="dxa"/>
          </w:tcPr>
          <w:p w:rsidR="00066742" w:rsidRDefault="00066742" w:rsidP="002A06E6">
            <w:pPr>
              <w:ind w:right="-180"/>
            </w:pPr>
            <w:r>
              <w:t>$90,000</w:t>
            </w:r>
          </w:p>
        </w:tc>
      </w:tr>
    </w:tbl>
    <w:p w:rsidR="00066742" w:rsidRDefault="00066742" w:rsidP="00066742">
      <w:pPr>
        <w:ind w:left="450" w:right="-180"/>
      </w:pPr>
    </w:p>
    <w:p w:rsidR="00066742" w:rsidRDefault="00066742" w:rsidP="00066742">
      <w:pPr>
        <w:ind w:left="450" w:right="-180"/>
      </w:pPr>
      <w:r>
        <w:t>The dividend paid to common stockholders at the end of 2017 is</w:t>
      </w:r>
    </w:p>
    <w:p w:rsidR="00066742" w:rsidRDefault="00066742" w:rsidP="00066742">
      <w:pPr>
        <w:ind w:left="450" w:right="-180"/>
      </w:pPr>
      <w:r>
        <w:t>A.</w:t>
      </w:r>
      <w:r>
        <w:tab/>
        <w:t>zero.</w:t>
      </w:r>
    </w:p>
    <w:p w:rsidR="00066742" w:rsidRDefault="00066742" w:rsidP="00066742">
      <w:pPr>
        <w:ind w:left="450" w:right="-180"/>
      </w:pPr>
      <w:r>
        <w:t>B.</w:t>
      </w:r>
      <w:r>
        <w:tab/>
        <w:t>$30,000.</w:t>
      </w:r>
    </w:p>
    <w:p w:rsidR="00066742" w:rsidRDefault="00066742" w:rsidP="00066742">
      <w:pPr>
        <w:ind w:left="450" w:right="-180"/>
      </w:pPr>
      <w:r>
        <w:t>C.</w:t>
      </w:r>
      <w:r>
        <w:tab/>
        <w:t>$40,000.</w:t>
      </w:r>
    </w:p>
    <w:p w:rsidR="00066742" w:rsidRPr="00D42E3E" w:rsidRDefault="00066742" w:rsidP="00066742">
      <w:pPr>
        <w:ind w:left="450" w:right="-180"/>
      </w:pPr>
      <w:r>
        <w:t>D</w:t>
      </w:r>
      <w:r w:rsidR="005165BA">
        <w:t>.</w:t>
      </w:r>
      <w:r w:rsidR="005165BA">
        <w:tab/>
        <w:t>None of the above</w:t>
      </w:r>
      <w:r>
        <w:t>.</w:t>
      </w:r>
    </w:p>
    <w:p w:rsidR="00066742" w:rsidRDefault="00066742" w:rsidP="00066742">
      <w:pPr>
        <w:ind w:right="-180"/>
      </w:pPr>
    </w:p>
    <w:p w:rsidR="003F1287" w:rsidRDefault="003F1287"/>
    <w:p w:rsidR="003F1287" w:rsidRDefault="005165BA" w:rsidP="003F1287">
      <w:pPr>
        <w:ind w:left="450" w:hanging="450"/>
      </w:pPr>
      <w:r>
        <w:t>6</w:t>
      </w:r>
      <w:r w:rsidR="003F1287">
        <w:t>.</w:t>
      </w:r>
      <w:r w:rsidR="003F1287">
        <w:tab/>
      </w:r>
      <w:r w:rsidR="003F1287" w:rsidRPr="008170C0">
        <w:t xml:space="preserve">On </w:t>
      </w:r>
      <w:r w:rsidR="003F1287">
        <w:t>January</w:t>
      </w:r>
      <w:r w:rsidR="003F1287" w:rsidRPr="008170C0">
        <w:t xml:space="preserve"> 1, Year 1 </w:t>
      </w:r>
      <w:r>
        <w:t>Gleason</w:t>
      </w:r>
      <w:r w:rsidR="003F1287">
        <w:t xml:space="preserve"> Corporation</w:t>
      </w:r>
      <w:r w:rsidR="003F1287" w:rsidRPr="008170C0">
        <w:t xml:space="preserve"> </w:t>
      </w:r>
      <w:r>
        <w:t>issued 4</w:t>
      </w:r>
      <w:r w:rsidR="003F1287">
        <w:t xml:space="preserve">00 shares of $5 </w:t>
      </w:r>
      <w:r w:rsidR="003F1287" w:rsidRPr="00D00EDA">
        <w:rPr>
          <w:b/>
          <w:i/>
        </w:rPr>
        <w:t xml:space="preserve">par value </w:t>
      </w:r>
      <w:r w:rsidR="003F1287">
        <w:rPr>
          <w:b/>
          <w:i/>
        </w:rPr>
        <w:t xml:space="preserve">common </w:t>
      </w:r>
      <w:r w:rsidR="003F1287" w:rsidRPr="00D00EDA">
        <w:rPr>
          <w:b/>
          <w:i/>
        </w:rPr>
        <w:t>stock</w:t>
      </w:r>
      <w:r w:rsidR="003F1287">
        <w:t xml:space="preserve"> for $40 per share.  </w:t>
      </w:r>
      <w:r w:rsidR="003F1287" w:rsidRPr="008170C0">
        <w:t xml:space="preserve">Which of the following </w:t>
      </w:r>
      <w:r w:rsidR="003F1287">
        <w:t xml:space="preserve">journal entries </w:t>
      </w:r>
      <w:r w:rsidR="003F1287" w:rsidRPr="008170C0">
        <w:t xml:space="preserve">shows how </w:t>
      </w:r>
      <w:r w:rsidR="003F1287">
        <w:t xml:space="preserve">this event would be recorded on January </w:t>
      </w:r>
      <w:r w:rsidR="003F1287" w:rsidRPr="008170C0">
        <w:t>1, Year 1?</w:t>
      </w:r>
      <w:r w:rsidR="003F1287">
        <w:t xml:space="preserve"> </w:t>
      </w:r>
    </w:p>
    <w:p w:rsidR="003F1287" w:rsidRDefault="001150FF" w:rsidP="003F1287">
      <w:pPr>
        <w:tabs>
          <w:tab w:val="left" w:pos="720"/>
          <w:tab w:val="left" w:pos="1440"/>
          <w:tab w:val="left" w:pos="3165"/>
        </w:tabs>
        <w:ind w:left="900" w:hanging="450"/>
      </w:pPr>
      <w:r>
        <w:t>A</w:t>
      </w:r>
      <w:r w:rsidR="003F1287">
        <w:t>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08"/>
        <w:gridCol w:w="1170"/>
        <w:gridCol w:w="1170"/>
      </w:tblGrid>
      <w:tr w:rsidR="003F1287" w:rsidTr="009E263A">
        <w:tc>
          <w:tcPr>
            <w:tcW w:w="4808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Account Titles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Debit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Credit</w:t>
            </w: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>Common Stock</w:t>
            </w:r>
          </w:p>
        </w:tc>
        <w:tc>
          <w:tcPr>
            <w:tcW w:w="1170" w:type="dxa"/>
          </w:tcPr>
          <w:p w:rsidR="003F1287" w:rsidRDefault="005165BA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2</w:t>
            </w:r>
            <w:r w:rsidR="003F1287">
              <w:t>,000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Additional Paid-in Capital in Excess of Par Value     </w:t>
            </w:r>
          </w:p>
        </w:tc>
        <w:tc>
          <w:tcPr>
            <w:tcW w:w="1170" w:type="dxa"/>
          </w:tcPr>
          <w:p w:rsidR="003F1287" w:rsidRDefault="005165BA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14</w:t>
            </w:r>
            <w:r w:rsidR="003F1287">
              <w:t>,000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decimal" w:pos="768"/>
                <w:tab w:val="left" w:pos="1440"/>
                <w:tab w:val="left" w:pos="3165"/>
              </w:tabs>
            </w:pP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Cash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</w:tcPr>
          <w:p w:rsidR="003F1287" w:rsidRDefault="005165BA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16</w:t>
            </w:r>
            <w:r w:rsidR="003F1287">
              <w:t>,000</w:t>
            </w:r>
          </w:p>
        </w:tc>
      </w:tr>
    </w:tbl>
    <w:p w:rsidR="003F1287" w:rsidRDefault="001150FF" w:rsidP="003F1287">
      <w:pPr>
        <w:tabs>
          <w:tab w:val="left" w:pos="720"/>
          <w:tab w:val="left" w:pos="1440"/>
          <w:tab w:val="left" w:pos="3165"/>
        </w:tabs>
        <w:ind w:left="900" w:hanging="450"/>
      </w:pPr>
      <w:r>
        <w:t>B</w:t>
      </w:r>
      <w:r w:rsidR="003F1287">
        <w:t>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08"/>
        <w:gridCol w:w="1170"/>
        <w:gridCol w:w="1170"/>
      </w:tblGrid>
      <w:tr w:rsidR="003F1287" w:rsidTr="009E263A">
        <w:tc>
          <w:tcPr>
            <w:tcW w:w="4808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Account Titles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Debit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Credit</w:t>
            </w: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>Cash</w:t>
            </w:r>
          </w:p>
        </w:tc>
        <w:tc>
          <w:tcPr>
            <w:tcW w:w="1170" w:type="dxa"/>
          </w:tcPr>
          <w:p w:rsidR="003F1287" w:rsidRDefault="005165BA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18</w:t>
            </w:r>
            <w:r w:rsidR="003F1287">
              <w:t>,000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Common Stock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</w:tcPr>
          <w:p w:rsidR="003F1287" w:rsidRDefault="005165BA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2</w:t>
            </w:r>
            <w:r w:rsidR="003F1287">
              <w:t>,000</w:t>
            </w: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Additional Paid-in Capital in Excess of Par Value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</w:tcPr>
          <w:p w:rsidR="003F1287" w:rsidRDefault="005165BA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16</w:t>
            </w:r>
            <w:r w:rsidR="003F1287">
              <w:t>,000</w:t>
            </w:r>
          </w:p>
        </w:tc>
      </w:tr>
    </w:tbl>
    <w:p w:rsidR="000D70FE" w:rsidRDefault="001150FF" w:rsidP="003F1287">
      <w:pPr>
        <w:tabs>
          <w:tab w:val="left" w:pos="720"/>
          <w:tab w:val="left" w:pos="1440"/>
          <w:tab w:val="left" w:pos="3165"/>
        </w:tabs>
        <w:ind w:left="900" w:hanging="450"/>
      </w:pPr>
      <w:r>
        <w:t>C</w:t>
      </w:r>
      <w:r w:rsidR="003F1287">
        <w:t>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08"/>
        <w:gridCol w:w="1170"/>
        <w:gridCol w:w="1170"/>
      </w:tblGrid>
      <w:tr w:rsidR="000D70FE" w:rsidTr="000D70FE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Account Titles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Debit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Credit</w:t>
            </w:r>
          </w:p>
        </w:tc>
      </w:tr>
      <w:tr w:rsidR="000D70FE" w:rsidTr="000D70FE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</w:pPr>
            <w:r>
              <w:t>Cash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16,000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</w:tr>
      <w:tr w:rsidR="000D70FE" w:rsidTr="000D70FE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Common Stock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2,000</w:t>
            </w:r>
          </w:p>
        </w:tc>
      </w:tr>
      <w:tr w:rsidR="000D70FE" w:rsidTr="000D70FE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Additional Paid-in Capital in Excess of Par Value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14,000</w:t>
            </w:r>
          </w:p>
        </w:tc>
      </w:tr>
    </w:tbl>
    <w:p w:rsidR="000D70FE" w:rsidRDefault="001150FF" w:rsidP="003F1287">
      <w:pPr>
        <w:tabs>
          <w:tab w:val="left" w:pos="720"/>
          <w:tab w:val="left" w:pos="1440"/>
          <w:tab w:val="left" w:pos="3165"/>
        </w:tabs>
        <w:ind w:left="900" w:hanging="450"/>
      </w:pPr>
      <w:r>
        <w:t>D</w:t>
      </w:r>
      <w:r w:rsidR="003F1287">
        <w:t>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08"/>
        <w:gridCol w:w="1170"/>
        <w:gridCol w:w="1170"/>
      </w:tblGrid>
      <w:tr w:rsidR="000D70FE" w:rsidTr="000D70FE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Account Titles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Debit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Credit</w:t>
            </w:r>
          </w:p>
        </w:tc>
      </w:tr>
      <w:tr w:rsidR="000D70FE" w:rsidTr="000D70FE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</w:pPr>
            <w:r>
              <w:t>Cash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16,000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</w:tr>
      <w:tr w:rsidR="000D70FE" w:rsidTr="000D70FE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Common Stock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14,000</w:t>
            </w:r>
          </w:p>
        </w:tc>
      </w:tr>
      <w:tr w:rsidR="000D70FE" w:rsidTr="000D70FE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Additional Paid-in Capital in Excess of Par Value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FE" w:rsidRDefault="000D70FE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2,000</w:t>
            </w:r>
          </w:p>
        </w:tc>
      </w:tr>
    </w:tbl>
    <w:p w:rsidR="003F1287" w:rsidRDefault="003F1287" w:rsidP="003F1287">
      <w:pPr>
        <w:tabs>
          <w:tab w:val="left" w:pos="720"/>
          <w:tab w:val="left" w:pos="1440"/>
          <w:tab w:val="left" w:pos="3165"/>
        </w:tabs>
        <w:ind w:left="900" w:hanging="450"/>
      </w:pPr>
    </w:p>
    <w:p w:rsidR="003F1287" w:rsidRDefault="003F1287" w:rsidP="003F1287"/>
    <w:p w:rsidR="003F1287" w:rsidRDefault="000D70FE" w:rsidP="003F1287">
      <w:pPr>
        <w:ind w:left="450" w:right="-180" w:hanging="450"/>
      </w:pPr>
      <w:r>
        <w:t>7</w:t>
      </w:r>
      <w:r w:rsidR="003F1287">
        <w:t>.</w:t>
      </w:r>
      <w:r w:rsidR="003F1287">
        <w:tab/>
        <w:t xml:space="preserve">On the balance sheet, </w:t>
      </w:r>
      <w:r w:rsidR="003F1287" w:rsidRPr="004B023C">
        <w:rPr>
          <w:i/>
        </w:rPr>
        <w:t>paid-in excess</w:t>
      </w:r>
      <w:r w:rsidR="003F1287">
        <w:t xml:space="preserve"> accounts are normally shown after the retained earnings account.  This statement is</w:t>
      </w:r>
    </w:p>
    <w:p w:rsidR="003F1287" w:rsidRDefault="003F1287" w:rsidP="003F1287">
      <w:pPr>
        <w:ind w:left="900" w:hanging="450"/>
      </w:pPr>
      <w:r>
        <w:t>a.</w:t>
      </w:r>
      <w:r>
        <w:tab/>
        <w:t>true.</w:t>
      </w:r>
    </w:p>
    <w:p w:rsidR="003F1287" w:rsidRDefault="003F1287" w:rsidP="003F1287">
      <w:pPr>
        <w:ind w:left="900" w:hanging="450"/>
      </w:pPr>
      <w:r>
        <w:t>b.</w:t>
      </w:r>
      <w:r>
        <w:tab/>
        <w:t>false.</w:t>
      </w:r>
    </w:p>
    <w:p w:rsidR="003F1287" w:rsidRDefault="003F1287"/>
    <w:p w:rsidR="000D70FE" w:rsidRDefault="000D70FE">
      <w:pPr>
        <w:spacing w:after="160" w:line="259" w:lineRule="auto"/>
      </w:pPr>
      <w:r>
        <w:br w:type="page"/>
      </w:r>
    </w:p>
    <w:p w:rsidR="000D70FE" w:rsidRDefault="000D70FE" w:rsidP="000D70FE">
      <w:pPr>
        <w:ind w:left="450" w:hanging="450"/>
      </w:pPr>
      <w:r>
        <w:lastRenderedPageBreak/>
        <w:t>8.</w:t>
      </w:r>
      <w:r>
        <w:tab/>
        <w:t>On November 1, 2015</w:t>
      </w:r>
      <w:r w:rsidRPr="008170C0">
        <w:t xml:space="preserve"> </w:t>
      </w:r>
      <w:r>
        <w:t>Duffy</w:t>
      </w:r>
      <w:r w:rsidRPr="008170C0">
        <w:t xml:space="preserve"> Company </w:t>
      </w:r>
      <w:r>
        <w:t>paid $20 per share to buy back 1,000 shares of its $8 par value common stock</w:t>
      </w:r>
      <w:r w:rsidRPr="008170C0">
        <w:t xml:space="preserve">. </w:t>
      </w:r>
      <w:r>
        <w:t>The stock had originally sold for $15</w:t>
      </w:r>
      <w:r w:rsidRPr="008170C0">
        <w:t xml:space="preserve">. Which of the following shows how </w:t>
      </w:r>
      <w:r>
        <w:t>the purchase of the treasury stock</w:t>
      </w:r>
      <w:r w:rsidRPr="008170C0">
        <w:t xml:space="preserve"> will affect </w:t>
      </w:r>
      <w:r>
        <w:t>Duffy’s</w:t>
      </w:r>
      <w:r w:rsidRPr="008170C0">
        <w:t xml:space="preserve"> financial </w:t>
      </w:r>
      <w:r>
        <w:t>statements on November 1, 2015</w:t>
      </w:r>
      <w:r w:rsidRPr="008170C0">
        <w:t>?</w:t>
      </w:r>
    </w:p>
    <w:p w:rsidR="000D70FE" w:rsidRDefault="000D70FE" w:rsidP="000D70FE">
      <w:pPr>
        <w:tabs>
          <w:tab w:val="left" w:pos="3994"/>
        </w:tabs>
        <w:ind w:left="900" w:hanging="450"/>
      </w:pPr>
      <w:r>
        <w:t>a.</w:t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4"/>
        <w:gridCol w:w="1764"/>
        <w:gridCol w:w="173"/>
        <w:gridCol w:w="1187"/>
        <w:gridCol w:w="196"/>
        <w:gridCol w:w="630"/>
        <w:gridCol w:w="270"/>
        <w:gridCol w:w="501"/>
        <w:gridCol w:w="287"/>
        <w:gridCol w:w="956"/>
        <w:gridCol w:w="270"/>
        <w:gridCol w:w="1136"/>
      </w:tblGrid>
      <w:tr w:rsidR="000D70FE" w:rsidTr="000D70FE"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Balance Sheet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Income Statement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Statement of</w:t>
            </w:r>
          </w:p>
        </w:tc>
      </w:tr>
      <w:tr w:rsidR="000D70FE" w:rsidTr="000D70FE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Equity Accounts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Treasury Stock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Cash Flows</w:t>
            </w:r>
          </w:p>
        </w:tc>
      </w:tr>
      <w:tr w:rsidR="000D70FE" w:rsidTr="000D70F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(20,000)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(20,000)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(20,000)  FA</w:t>
            </w:r>
          </w:p>
        </w:tc>
      </w:tr>
    </w:tbl>
    <w:p w:rsidR="000D70FE" w:rsidRDefault="000D70FE" w:rsidP="000D70FE">
      <w:pPr>
        <w:tabs>
          <w:tab w:val="left" w:pos="3994"/>
        </w:tabs>
        <w:ind w:left="900" w:hanging="450"/>
      </w:pPr>
      <w:r>
        <w:t>b.</w:t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4"/>
        <w:gridCol w:w="1764"/>
        <w:gridCol w:w="173"/>
        <w:gridCol w:w="1187"/>
        <w:gridCol w:w="196"/>
        <w:gridCol w:w="630"/>
        <w:gridCol w:w="270"/>
        <w:gridCol w:w="501"/>
        <w:gridCol w:w="287"/>
        <w:gridCol w:w="956"/>
        <w:gridCol w:w="270"/>
        <w:gridCol w:w="1136"/>
      </w:tblGrid>
      <w:tr w:rsidR="000D70FE" w:rsidTr="000D70FE"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Balance Sheet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Income Statement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Statement of</w:t>
            </w:r>
          </w:p>
        </w:tc>
      </w:tr>
      <w:tr w:rsidR="000D70FE" w:rsidTr="000D70FE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Equity Accounts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Treasury Stock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Cash Flows</w:t>
            </w:r>
          </w:p>
        </w:tc>
      </w:tr>
      <w:tr w:rsidR="000D70FE" w:rsidTr="000D70F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(20,000)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20,000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0FE" w:rsidRDefault="000D70FE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(20,000)  FA</w:t>
            </w:r>
          </w:p>
        </w:tc>
      </w:tr>
    </w:tbl>
    <w:p w:rsidR="000D70FE" w:rsidRDefault="000D70FE" w:rsidP="000D70FE">
      <w:pPr>
        <w:tabs>
          <w:tab w:val="left" w:pos="3994"/>
        </w:tabs>
        <w:ind w:left="900" w:hanging="450"/>
      </w:pPr>
      <w:r>
        <w:t>c.</w:t>
      </w:r>
      <w:r>
        <w:tab/>
      </w:r>
      <w:r>
        <w:tab/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1764"/>
        <w:gridCol w:w="173"/>
        <w:gridCol w:w="1187"/>
        <w:gridCol w:w="196"/>
        <w:gridCol w:w="630"/>
        <w:gridCol w:w="270"/>
        <w:gridCol w:w="501"/>
        <w:gridCol w:w="287"/>
        <w:gridCol w:w="956"/>
        <w:gridCol w:w="270"/>
        <w:gridCol w:w="1136"/>
      </w:tblGrid>
      <w:tr w:rsidR="000D70FE" w:rsidRPr="00AF6E47" w:rsidTr="002A06E6"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0D70FE" w:rsidRPr="00AF6E47" w:rsidTr="002A06E6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Equity Accounts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Treasury Stock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0D70FE" w:rsidRPr="00AF6E47" w:rsidTr="002A06E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(20,000)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(20,000)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(20,000)  FA</w:t>
            </w:r>
          </w:p>
        </w:tc>
      </w:tr>
    </w:tbl>
    <w:p w:rsidR="000D70FE" w:rsidRDefault="000D70FE" w:rsidP="000D70FE">
      <w:pPr>
        <w:tabs>
          <w:tab w:val="left" w:pos="3994"/>
        </w:tabs>
        <w:ind w:left="900" w:hanging="450"/>
      </w:pPr>
      <w:r>
        <w:t>d.</w:t>
      </w:r>
      <w:r>
        <w:tab/>
      </w:r>
      <w:r>
        <w:tab/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1764"/>
        <w:gridCol w:w="173"/>
        <w:gridCol w:w="1187"/>
        <w:gridCol w:w="196"/>
        <w:gridCol w:w="630"/>
        <w:gridCol w:w="270"/>
        <w:gridCol w:w="501"/>
        <w:gridCol w:w="287"/>
        <w:gridCol w:w="956"/>
        <w:gridCol w:w="270"/>
        <w:gridCol w:w="1136"/>
      </w:tblGrid>
      <w:tr w:rsidR="000D70FE" w:rsidRPr="00AF6E47" w:rsidTr="002A06E6"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0D70FE" w:rsidRPr="00AF6E47" w:rsidTr="002A06E6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Equity Accounts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Treasury Stock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0D70FE" w:rsidRPr="00AF6E47" w:rsidTr="002A06E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(20,000)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20,000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FE" w:rsidRPr="00AF6E47" w:rsidRDefault="000D70FE" w:rsidP="002A06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(20,000)  FA</w:t>
            </w:r>
          </w:p>
        </w:tc>
      </w:tr>
    </w:tbl>
    <w:p w:rsidR="00F86AA6" w:rsidRDefault="00F86AA6" w:rsidP="003F1287">
      <w:pPr>
        <w:ind w:left="450" w:hanging="450"/>
      </w:pPr>
    </w:p>
    <w:p w:rsidR="00F86AA6" w:rsidRDefault="00F86AA6" w:rsidP="003F1287">
      <w:pPr>
        <w:ind w:left="450" w:hanging="450"/>
      </w:pPr>
    </w:p>
    <w:p w:rsidR="003F1287" w:rsidRDefault="00F86AA6" w:rsidP="003F1287">
      <w:pPr>
        <w:ind w:left="450" w:hanging="450"/>
      </w:pPr>
      <w:r>
        <w:t>9</w:t>
      </w:r>
      <w:r w:rsidR="003F1287">
        <w:t>.</w:t>
      </w:r>
      <w:r w:rsidR="003F1287">
        <w:tab/>
      </w:r>
      <w:r w:rsidR="000D70FE">
        <w:t>On November 1, 2015</w:t>
      </w:r>
      <w:r w:rsidR="003F1287" w:rsidRPr="008170C0">
        <w:t xml:space="preserve"> </w:t>
      </w:r>
      <w:r w:rsidR="000D70FE">
        <w:t>Duffy</w:t>
      </w:r>
      <w:r w:rsidR="003F1287" w:rsidRPr="008170C0">
        <w:t xml:space="preserve"> Company </w:t>
      </w:r>
      <w:r w:rsidR="003F1287">
        <w:t>paid $20 per share to buy back 1,000 shares of its $8 par value common stock</w:t>
      </w:r>
      <w:r w:rsidR="003F1287" w:rsidRPr="008170C0">
        <w:t xml:space="preserve">. </w:t>
      </w:r>
      <w:r w:rsidR="003F1287">
        <w:t>The stock had originally sold for $15</w:t>
      </w:r>
      <w:r>
        <w:t xml:space="preserve">. On December 15, Year 1 Duffy sold 400 shares of the treasury stock at $18 per share.  </w:t>
      </w:r>
      <w:r w:rsidRPr="008170C0">
        <w:t xml:space="preserve">Which of the following </w:t>
      </w:r>
      <w:r>
        <w:t>journal entries is necessary to record the sale of the treasury stock</w:t>
      </w:r>
      <w:r w:rsidRPr="008170C0">
        <w:t xml:space="preserve"> on </w:t>
      </w:r>
      <w:r>
        <w:t>December</w:t>
      </w:r>
      <w:r w:rsidRPr="008170C0">
        <w:t xml:space="preserve"> 1</w:t>
      </w:r>
      <w:r>
        <w:t>5, 2015</w:t>
      </w:r>
      <w:r w:rsidR="003F1287" w:rsidRPr="008170C0">
        <w:t>?</w:t>
      </w:r>
    </w:p>
    <w:p w:rsidR="003F1287" w:rsidRDefault="003F1287" w:rsidP="003F1287">
      <w:pPr>
        <w:tabs>
          <w:tab w:val="left" w:pos="3994"/>
        </w:tabs>
        <w:ind w:left="900" w:hanging="450"/>
      </w:pPr>
      <w:r>
        <w:t>a.</w:t>
      </w:r>
      <w:r>
        <w:tab/>
      </w:r>
      <w:r>
        <w:tab/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1764"/>
        <w:gridCol w:w="173"/>
        <w:gridCol w:w="1187"/>
        <w:gridCol w:w="196"/>
        <w:gridCol w:w="630"/>
        <w:gridCol w:w="270"/>
        <w:gridCol w:w="501"/>
        <w:gridCol w:w="287"/>
        <w:gridCol w:w="956"/>
        <w:gridCol w:w="270"/>
        <w:gridCol w:w="1136"/>
      </w:tblGrid>
      <w:tr w:rsidR="003F1287" w:rsidRPr="00AF6E47" w:rsidTr="009E263A"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Equity Accounts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Treasury Stock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7,2</w:t>
            </w:r>
            <w:r w:rsidR="0073716A">
              <w:rPr>
                <w:rFonts w:cstheme="minorHAnsi"/>
                <w:sz w:val="18"/>
              </w:rPr>
              <w:t>00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7,2</w:t>
            </w:r>
            <w:r w:rsidR="003F1287">
              <w:rPr>
                <w:sz w:val="18"/>
              </w:rPr>
              <w:t>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7,200</w:t>
            </w:r>
            <w:r w:rsidR="003F1287">
              <w:rPr>
                <w:sz w:val="18"/>
              </w:rPr>
              <w:t xml:space="preserve">  FA</w:t>
            </w:r>
          </w:p>
        </w:tc>
      </w:tr>
    </w:tbl>
    <w:p w:rsidR="003F1287" w:rsidRDefault="003F1287" w:rsidP="003F1287">
      <w:pPr>
        <w:tabs>
          <w:tab w:val="left" w:pos="3994"/>
        </w:tabs>
        <w:ind w:left="900" w:hanging="450"/>
      </w:pPr>
      <w:r>
        <w:t>b.</w:t>
      </w:r>
      <w:r>
        <w:tab/>
      </w:r>
      <w:r>
        <w:tab/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1764"/>
        <w:gridCol w:w="173"/>
        <w:gridCol w:w="1187"/>
        <w:gridCol w:w="196"/>
        <w:gridCol w:w="630"/>
        <w:gridCol w:w="270"/>
        <w:gridCol w:w="501"/>
        <w:gridCol w:w="287"/>
        <w:gridCol w:w="956"/>
        <w:gridCol w:w="270"/>
        <w:gridCol w:w="1136"/>
      </w:tblGrid>
      <w:tr w:rsidR="003F1287" w:rsidRPr="00AF6E47" w:rsidTr="009E263A"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Equity Accounts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Treasury Stock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7,200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1,200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7,200</w:t>
            </w:r>
            <w:r w:rsidR="003F1287">
              <w:rPr>
                <w:sz w:val="18"/>
              </w:rPr>
              <w:t xml:space="preserve">  FA</w:t>
            </w:r>
          </w:p>
        </w:tc>
      </w:tr>
    </w:tbl>
    <w:p w:rsidR="003F1287" w:rsidRDefault="003F1287" w:rsidP="003F1287">
      <w:pPr>
        <w:tabs>
          <w:tab w:val="left" w:pos="3994"/>
        </w:tabs>
        <w:ind w:left="900" w:hanging="450"/>
      </w:pPr>
      <w:r>
        <w:t>c.</w:t>
      </w:r>
      <w:r>
        <w:tab/>
      </w:r>
      <w:r>
        <w:tab/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1764"/>
        <w:gridCol w:w="173"/>
        <w:gridCol w:w="1187"/>
        <w:gridCol w:w="196"/>
        <w:gridCol w:w="630"/>
        <w:gridCol w:w="270"/>
        <w:gridCol w:w="501"/>
        <w:gridCol w:w="287"/>
        <w:gridCol w:w="956"/>
        <w:gridCol w:w="270"/>
        <w:gridCol w:w="1136"/>
      </w:tblGrid>
      <w:tr w:rsidR="003F1287" w:rsidRPr="00AF6E47" w:rsidTr="009E263A"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Equity Accounts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Treasury Stock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7,200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(8,000)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7,200</w:t>
            </w:r>
            <w:r w:rsidR="003F1287">
              <w:rPr>
                <w:sz w:val="18"/>
              </w:rPr>
              <w:t xml:space="preserve">  FA</w:t>
            </w:r>
          </w:p>
        </w:tc>
      </w:tr>
    </w:tbl>
    <w:p w:rsidR="003F1287" w:rsidRDefault="003F1287" w:rsidP="003F1287">
      <w:pPr>
        <w:tabs>
          <w:tab w:val="left" w:pos="3994"/>
        </w:tabs>
        <w:ind w:left="900" w:hanging="450"/>
      </w:pPr>
      <w:r>
        <w:t>d.</w:t>
      </w:r>
      <w:r>
        <w:tab/>
      </w:r>
      <w:r>
        <w:tab/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1764"/>
        <w:gridCol w:w="173"/>
        <w:gridCol w:w="1187"/>
        <w:gridCol w:w="196"/>
        <w:gridCol w:w="630"/>
        <w:gridCol w:w="270"/>
        <w:gridCol w:w="501"/>
        <w:gridCol w:w="287"/>
        <w:gridCol w:w="956"/>
        <w:gridCol w:w="270"/>
        <w:gridCol w:w="1136"/>
      </w:tblGrid>
      <w:tr w:rsidR="003F1287" w:rsidRPr="00AF6E47" w:rsidTr="009E263A"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Equity Accounts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Treasury Stock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7,200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(800)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(8,000)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B15F6C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7,200</w:t>
            </w:r>
            <w:r w:rsidR="003F1287">
              <w:rPr>
                <w:sz w:val="18"/>
              </w:rPr>
              <w:t xml:space="preserve">  FA</w:t>
            </w:r>
          </w:p>
        </w:tc>
      </w:tr>
    </w:tbl>
    <w:p w:rsidR="003F1287" w:rsidRDefault="003F1287" w:rsidP="003F1287">
      <w:pPr>
        <w:ind w:right="-180"/>
      </w:pPr>
    </w:p>
    <w:p w:rsidR="003F1287" w:rsidRDefault="003F1287"/>
    <w:p w:rsidR="000D70FE" w:rsidRDefault="000D70FE">
      <w:pPr>
        <w:spacing w:after="160" w:line="259" w:lineRule="auto"/>
      </w:pPr>
      <w:r>
        <w:br w:type="page"/>
      </w:r>
    </w:p>
    <w:p w:rsidR="003F1287" w:rsidRDefault="00B15F6C" w:rsidP="003F1287">
      <w:pPr>
        <w:ind w:left="450" w:hanging="450"/>
      </w:pPr>
      <w:r>
        <w:lastRenderedPageBreak/>
        <w:t>10</w:t>
      </w:r>
      <w:r w:rsidR="003F1287">
        <w:t>.</w:t>
      </w:r>
      <w:r w:rsidR="003F1287">
        <w:tab/>
      </w:r>
      <w:r w:rsidR="000D70FE">
        <w:t>On November 1, 2015 Duffy</w:t>
      </w:r>
      <w:r w:rsidR="003F1287" w:rsidRPr="008170C0">
        <w:t xml:space="preserve"> Company </w:t>
      </w:r>
      <w:r w:rsidR="00CF6A54">
        <w:t>paid $20</w:t>
      </w:r>
      <w:r w:rsidR="003F1287">
        <w:t xml:space="preserve"> per share to buy back 1,000 shares of its $8 par value common stock</w:t>
      </w:r>
      <w:r w:rsidR="003F1287" w:rsidRPr="008170C0">
        <w:t xml:space="preserve">. </w:t>
      </w:r>
      <w:r w:rsidR="003F1287">
        <w:t>The stock had originally sold for $15</w:t>
      </w:r>
      <w:r w:rsidR="003F1287" w:rsidRPr="008170C0">
        <w:t xml:space="preserve">. </w:t>
      </w:r>
      <w:r w:rsidR="000D70FE">
        <w:t>On December 15, Year 1 Duffy</w:t>
      </w:r>
      <w:r w:rsidR="003F1287">
        <w:t xml:space="preserve"> sold 400 sha</w:t>
      </w:r>
      <w:r w:rsidR="00CF6A54">
        <w:t>res of the treasury stock at $22</w:t>
      </w:r>
      <w:r w:rsidR="003F1287">
        <w:t xml:space="preserve"> per share.  </w:t>
      </w:r>
      <w:r w:rsidR="003F1287" w:rsidRPr="008170C0">
        <w:t xml:space="preserve">Which of the following </w:t>
      </w:r>
      <w:r w:rsidR="003F1287">
        <w:t>journal entries is necessary to record the sale of the treasury stock</w:t>
      </w:r>
      <w:r w:rsidR="003F1287" w:rsidRPr="008170C0">
        <w:t xml:space="preserve"> on </w:t>
      </w:r>
      <w:r w:rsidR="003F1287">
        <w:t>December</w:t>
      </w:r>
      <w:r w:rsidR="003F1287" w:rsidRPr="008170C0">
        <w:t xml:space="preserve"> 1</w:t>
      </w:r>
      <w:r w:rsidR="003F1287">
        <w:t>5</w:t>
      </w:r>
      <w:r w:rsidR="000D70FE">
        <w:t>, 2015</w:t>
      </w:r>
      <w:r w:rsidR="003F1287" w:rsidRPr="008170C0">
        <w:t>?</w:t>
      </w:r>
    </w:p>
    <w:p w:rsidR="003F1287" w:rsidRDefault="003F1287" w:rsidP="003F1287">
      <w:pPr>
        <w:tabs>
          <w:tab w:val="left" w:pos="720"/>
          <w:tab w:val="left" w:pos="1440"/>
          <w:tab w:val="left" w:pos="3165"/>
        </w:tabs>
        <w:ind w:left="900" w:hanging="450"/>
      </w:pPr>
      <w:r>
        <w:t>a.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08"/>
        <w:gridCol w:w="1170"/>
        <w:gridCol w:w="1170"/>
      </w:tblGrid>
      <w:tr w:rsidR="003F1287" w:rsidTr="009E263A">
        <w:tc>
          <w:tcPr>
            <w:tcW w:w="4808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Account Titles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Debit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Credit</w:t>
            </w: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>Cash</w:t>
            </w:r>
          </w:p>
        </w:tc>
        <w:tc>
          <w:tcPr>
            <w:tcW w:w="1170" w:type="dxa"/>
          </w:tcPr>
          <w:p w:rsidR="003F1287" w:rsidRDefault="00CF6A54" w:rsidP="00CF6A54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8,8</w:t>
            </w:r>
            <w:r w:rsidR="003F1287">
              <w:t>00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Treasury Stock     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</w:r>
          </w:p>
        </w:tc>
        <w:tc>
          <w:tcPr>
            <w:tcW w:w="1170" w:type="dxa"/>
          </w:tcPr>
          <w:p w:rsidR="003F1287" w:rsidRDefault="00CF6A54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</w:t>
            </w:r>
            <w:r w:rsidR="003F1287">
              <w:t>00</w:t>
            </w: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Paid-in Capital from Treasury Stock Transactions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8,000</w:t>
            </w:r>
          </w:p>
        </w:tc>
      </w:tr>
    </w:tbl>
    <w:p w:rsidR="003F1287" w:rsidRDefault="003F1287" w:rsidP="003F1287">
      <w:pPr>
        <w:tabs>
          <w:tab w:val="left" w:pos="720"/>
          <w:tab w:val="left" w:pos="1440"/>
          <w:tab w:val="left" w:pos="3165"/>
        </w:tabs>
        <w:ind w:left="900" w:hanging="450"/>
      </w:pPr>
      <w:r>
        <w:t>b.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08"/>
        <w:gridCol w:w="1170"/>
        <w:gridCol w:w="1170"/>
      </w:tblGrid>
      <w:tr w:rsidR="003F1287" w:rsidTr="009E263A">
        <w:tc>
          <w:tcPr>
            <w:tcW w:w="4808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Account Titles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Debit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Credit</w:t>
            </w: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>Treasury Stock</w:t>
            </w:r>
          </w:p>
        </w:tc>
        <w:tc>
          <w:tcPr>
            <w:tcW w:w="1170" w:type="dxa"/>
          </w:tcPr>
          <w:p w:rsidR="003F1287" w:rsidRDefault="00CF6A54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8,8</w:t>
            </w:r>
            <w:r w:rsidR="003F1287">
              <w:t>00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Cash     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8,000</w:t>
            </w:r>
          </w:p>
        </w:tc>
      </w:tr>
      <w:tr w:rsidR="003F1287" w:rsidTr="009E263A">
        <w:tc>
          <w:tcPr>
            <w:tcW w:w="4808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Paid-in Capital from Treasury Stock Transactions</w:t>
            </w:r>
          </w:p>
        </w:tc>
        <w:tc>
          <w:tcPr>
            <w:tcW w:w="1170" w:type="dxa"/>
          </w:tcPr>
          <w:p w:rsidR="003F1287" w:rsidRDefault="003F1287" w:rsidP="009E263A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</w:tcPr>
          <w:p w:rsidR="003F1287" w:rsidRDefault="00CF6A54" w:rsidP="009E263A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</w:t>
            </w:r>
            <w:r w:rsidR="003F1287">
              <w:t>00</w:t>
            </w:r>
          </w:p>
        </w:tc>
      </w:tr>
    </w:tbl>
    <w:p w:rsidR="00CF6A54" w:rsidRDefault="003F1287" w:rsidP="003F1287">
      <w:pPr>
        <w:tabs>
          <w:tab w:val="left" w:pos="720"/>
          <w:tab w:val="left" w:pos="1440"/>
          <w:tab w:val="left" w:pos="3165"/>
        </w:tabs>
        <w:ind w:left="900" w:hanging="450"/>
      </w:pPr>
      <w:r>
        <w:t>c.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08"/>
        <w:gridCol w:w="1170"/>
        <w:gridCol w:w="1170"/>
      </w:tblGrid>
      <w:tr w:rsidR="00CF6A54" w:rsidTr="00CF6A54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Account Titles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Debit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Credit</w:t>
            </w:r>
          </w:p>
        </w:tc>
      </w:tr>
      <w:tr w:rsidR="00CF6A54" w:rsidTr="00CF6A54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</w:pPr>
            <w:r>
              <w:t>Cash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8,800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</w:tr>
      <w:tr w:rsidR="00CF6A54" w:rsidTr="00CF6A54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Treasury Stock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8,000</w:t>
            </w:r>
          </w:p>
        </w:tc>
      </w:tr>
      <w:tr w:rsidR="00CF6A54" w:rsidTr="00CF6A54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Paid-in Capital from Treasury Stock Transactions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800</w:t>
            </w:r>
          </w:p>
        </w:tc>
      </w:tr>
    </w:tbl>
    <w:p w:rsidR="00CF6A54" w:rsidRDefault="003F1287" w:rsidP="003F1287">
      <w:pPr>
        <w:tabs>
          <w:tab w:val="left" w:pos="720"/>
          <w:tab w:val="left" w:pos="1440"/>
          <w:tab w:val="left" w:pos="3165"/>
        </w:tabs>
        <w:ind w:left="900" w:hanging="450"/>
      </w:pPr>
      <w:r>
        <w:t>d.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08"/>
        <w:gridCol w:w="1170"/>
        <w:gridCol w:w="1170"/>
      </w:tblGrid>
      <w:tr w:rsidR="00CF6A54" w:rsidTr="00CF6A54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Account Titles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Debit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  <w:r>
              <w:t>Credit</w:t>
            </w:r>
          </w:p>
        </w:tc>
      </w:tr>
      <w:tr w:rsidR="00CF6A54" w:rsidTr="00CF6A54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</w:pPr>
            <w:r>
              <w:t>Treasury Stock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</w:tr>
      <w:tr w:rsidR="00CF6A54" w:rsidTr="00CF6A54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Paid-in Capital from Treasury Stock Transactions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4" w:rsidRDefault="00CF6A54">
            <w:pPr>
              <w:tabs>
                <w:tab w:val="decimal" w:pos="768"/>
                <w:tab w:val="left" w:pos="1440"/>
                <w:tab w:val="left" w:pos="3165"/>
              </w:tabs>
            </w:pPr>
          </w:p>
        </w:tc>
      </w:tr>
      <w:tr w:rsidR="00CF6A54" w:rsidTr="00CF6A54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</w:pPr>
            <w:r>
              <w:t xml:space="preserve">     Cash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4" w:rsidRDefault="00CF6A54">
            <w:pPr>
              <w:tabs>
                <w:tab w:val="left" w:pos="720"/>
                <w:tab w:val="left" w:pos="1440"/>
                <w:tab w:val="left" w:pos="316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tabs>
                <w:tab w:val="decimal" w:pos="768"/>
                <w:tab w:val="left" w:pos="1440"/>
                <w:tab w:val="left" w:pos="3165"/>
              </w:tabs>
            </w:pPr>
            <w:r>
              <w:tab/>
              <w:t>8,800</w:t>
            </w:r>
          </w:p>
        </w:tc>
      </w:tr>
    </w:tbl>
    <w:p w:rsidR="003F1287" w:rsidRDefault="003F1287" w:rsidP="003F1287">
      <w:pPr>
        <w:tabs>
          <w:tab w:val="left" w:pos="720"/>
          <w:tab w:val="left" w:pos="1440"/>
          <w:tab w:val="left" w:pos="3165"/>
        </w:tabs>
        <w:ind w:left="900" w:hanging="450"/>
      </w:pPr>
    </w:p>
    <w:p w:rsidR="003F1287" w:rsidRDefault="003F1287" w:rsidP="003F1287">
      <w:pPr>
        <w:ind w:left="450" w:right="-180" w:hanging="450"/>
      </w:pPr>
    </w:p>
    <w:p w:rsidR="00CF6A54" w:rsidRDefault="00CF6A54">
      <w:pPr>
        <w:spacing w:after="160" w:line="259" w:lineRule="auto"/>
      </w:pPr>
      <w:r>
        <w:br w:type="page"/>
      </w:r>
    </w:p>
    <w:p w:rsidR="003F1287" w:rsidRDefault="00B15F6C" w:rsidP="003F1287">
      <w:pPr>
        <w:ind w:left="450" w:right="-180" w:hanging="450"/>
      </w:pPr>
      <w:r>
        <w:lastRenderedPageBreak/>
        <w:t>11</w:t>
      </w:r>
      <w:r w:rsidR="003F1287">
        <w:t>.</w:t>
      </w:r>
      <w:r w:rsidR="003F1287">
        <w:tab/>
      </w:r>
      <w:r w:rsidR="003F1287" w:rsidRPr="00A40B8B">
        <w:t xml:space="preserve">On October 1, </w:t>
      </w:r>
      <w:r w:rsidR="00CF6A54">
        <w:t>Pine Corporation declared a $5</w:t>
      </w:r>
      <w:r w:rsidR="003F1287" w:rsidRPr="00A40B8B">
        <w:t xml:space="preserve">0,000 cash dividend to be paid on December 15 to shareholders of record on November 1. </w:t>
      </w:r>
      <w:r w:rsidR="003F1287">
        <w:t xml:space="preserve"> </w:t>
      </w:r>
      <w:r w:rsidR="003F1287" w:rsidRPr="008170C0">
        <w:t xml:space="preserve">Which of the following shows how </w:t>
      </w:r>
      <w:r w:rsidR="003F1287">
        <w:t>Allison’s</w:t>
      </w:r>
      <w:r w:rsidR="003F1287" w:rsidRPr="008170C0">
        <w:t xml:space="preserve"> financial statements </w:t>
      </w:r>
      <w:r w:rsidR="003F1287">
        <w:t xml:space="preserve">will be affected </w:t>
      </w:r>
      <w:r w:rsidR="003F1287" w:rsidRPr="008170C0">
        <w:t xml:space="preserve">on </w:t>
      </w:r>
      <w:r w:rsidR="003F1287">
        <w:t>October</w:t>
      </w:r>
      <w:r w:rsidR="003F1287" w:rsidRPr="008170C0">
        <w:t xml:space="preserve"> 1?</w:t>
      </w:r>
    </w:p>
    <w:p w:rsidR="00CF6A54" w:rsidRDefault="00F86AA6" w:rsidP="003F1287">
      <w:pPr>
        <w:tabs>
          <w:tab w:val="left" w:pos="3994"/>
        </w:tabs>
        <w:ind w:left="900" w:hanging="450"/>
      </w:pPr>
      <w:r>
        <w:t>A</w:t>
      </w:r>
      <w:r w:rsidR="003F1287">
        <w:t>.</w:t>
      </w:r>
    </w:p>
    <w:tbl>
      <w:tblPr>
        <w:tblW w:w="7485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64"/>
        <w:gridCol w:w="846"/>
        <w:gridCol w:w="173"/>
        <w:gridCol w:w="798"/>
        <w:gridCol w:w="124"/>
        <w:gridCol w:w="778"/>
        <w:gridCol w:w="203"/>
        <w:gridCol w:w="591"/>
        <w:gridCol w:w="270"/>
        <w:gridCol w:w="501"/>
        <w:gridCol w:w="287"/>
        <w:gridCol w:w="669"/>
        <w:gridCol w:w="127"/>
        <w:gridCol w:w="1135"/>
      </w:tblGrid>
      <w:tr w:rsidR="00CF6A54" w:rsidTr="00CF6A54">
        <w:tc>
          <w:tcPr>
            <w:tcW w:w="370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Balance Sheet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Income Statement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Statement of</w:t>
            </w:r>
          </w:p>
        </w:tc>
      </w:tr>
      <w:tr w:rsidR="00CF6A54" w:rsidTr="00CF6A54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Dividends</w:t>
            </w: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Payable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Stock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Retained</w:t>
            </w: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 Inc.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Cash Flows</w:t>
            </w:r>
          </w:p>
        </w:tc>
      </w:tr>
      <w:tr w:rsidR="00CF6A54" w:rsidTr="00CF6A54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NA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(50,000)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:rsidR="003F1287" w:rsidRDefault="003F1287" w:rsidP="003F1287">
      <w:pPr>
        <w:tabs>
          <w:tab w:val="left" w:pos="3994"/>
        </w:tabs>
        <w:ind w:left="900" w:hanging="450"/>
      </w:pPr>
      <w:r>
        <w:tab/>
      </w:r>
      <w:r>
        <w:tab/>
      </w:r>
    </w:p>
    <w:p w:rsidR="003F1287" w:rsidRDefault="00F86AA6" w:rsidP="003F1287">
      <w:pPr>
        <w:tabs>
          <w:tab w:val="left" w:pos="3994"/>
        </w:tabs>
        <w:ind w:left="900" w:hanging="450"/>
      </w:pPr>
      <w:r>
        <w:t>B</w:t>
      </w:r>
      <w:r w:rsidR="003F1287">
        <w:t>.</w:t>
      </w:r>
      <w:r w:rsidR="003F1287">
        <w:tab/>
      </w:r>
      <w:r w:rsidR="003F1287">
        <w:tab/>
      </w:r>
    </w:p>
    <w:tbl>
      <w:tblPr>
        <w:tblW w:w="7491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847"/>
        <w:gridCol w:w="173"/>
        <w:gridCol w:w="799"/>
        <w:gridCol w:w="124"/>
        <w:gridCol w:w="779"/>
        <w:gridCol w:w="203"/>
        <w:gridCol w:w="591"/>
        <w:gridCol w:w="270"/>
        <w:gridCol w:w="501"/>
        <w:gridCol w:w="287"/>
        <w:gridCol w:w="670"/>
        <w:gridCol w:w="127"/>
        <w:gridCol w:w="1136"/>
      </w:tblGrid>
      <w:tr w:rsidR="003F1287" w:rsidRPr="00AF6E47" w:rsidTr="009E263A">
        <w:tc>
          <w:tcPr>
            <w:tcW w:w="370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Dividends</w:t>
            </w: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Payable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Stock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Retained</w:t>
            </w: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  <w:szCs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NA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28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28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:rsidR="003F1287" w:rsidRDefault="00F86AA6" w:rsidP="003F1287">
      <w:pPr>
        <w:tabs>
          <w:tab w:val="left" w:pos="3994"/>
        </w:tabs>
        <w:ind w:left="900" w:hanging="450"/>
      </w:pPr>
      <w:r>
        <w:t>C</w:t>
      </w:r>
      <w:r w:rsidR="003F1287">
        <w:t>.</w:t>
      </w:r>
      <w:r w:rsidR="003F1287">
        <w:tab/>
      </w:r>
      <w:r w:rsidR="003F1287">
        <w:tab/>
      </w:r>
    </w:p>
    <w:tbl>
      <w:tblPr>
        <w:tblW w:w="7491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847"/>
        <w:gridCol w:w="173"/>
        <w:gridCol w:w="799"/>
        <w:gridCol w:w="124"/>
        <w:gridCol w:w="779"/>
        <w:gridCol w:w="203"/>
        <w:gridCol w:w="591"/>
        <w:gridCol w:w="270"/>
        <w:gridCol w:w="501"/>
        <w:gridCol w:w="287"/>
        <w:gridCol w:w="670"/>
        <w:gridCol w:w="127"/>
        <w:gridCol w:w="1136"/>
      </w:tblGrid>
      <w:tr w:rsidR="003F1287" w:rsidRPr="00AF6E47" w:rsidTr="009E263A">
        <w:tc>
          <w:tcPr>
            <w:tcW w:w="370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Dividends</w:t>
            </w: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Payable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Stock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Retained</w:t>
            </w: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  <w:szCs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1287" w:rsidRDefault="003F1287" w:rsidP="009E263A">
            <w:pPr>
              <w:jc w:val="center"/>
              <w:rPr>
                <w:b/>
                <w:sz w:val="18"/>
              </w:rPr>
            </w:pPr>
          </w:p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3F1287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NA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CF6A54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3F1287">
              <w:rPr>
                <w:sz w:val="18"/>
              </w:rPr>
              <w:t>0,000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287" w:rsidRDefault="00CF6A54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(5</w:t>
            </w:r>
            <w:r w:rsidR="003F1287">
              <w:rPr>
                <w:sz w:val="18"/>
              </w:rPr>
              <w:t>0,000)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28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287" w:rsidRPr="00AF6E47" w:rsidRDefault="003F1287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87" w:rsidRPr="00AF6E47" w:rsidRDefault="00CF6A54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(5</w:t>
            </w:r>
            <w:r w:rsidR="003F1287">
              <w:rPr>
                <w:sz w:val="18"/>
              </w:rPr>
              <w:t>0,000)  FA</w:t>
            </w:r>
          </w:p>
        </w:tc>
      </w:tr>
    </w:tbl>
    <w:p w:rsidR="00CF6A54" w:rsidRDefault="00F86AA6" w:rsidP="003F1287">
      <w:pPr>
        <w:tabs>
          <w:tab w:val="left" w:pos="3994"/>
        </w:tabs>
        <w:ind w:left="900" w:hanging="450"/>
      </w:pPr>
      <w:r>
        <w:t>D</w:t>
      </w:r>
      <w:r w:rsidR="003F1287">
        <w:t>.</w:t>
      </w:r>
    </w:p>
    <w:tbl>
      <w:tblPr>
        <w:tblW w:w="7485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64"/>
        <w:gridCol w:w="846"/>
        <w:gridCol w:w="173"/>
        <w:gridCol w:w="798"/>
        <w:gridCol w:w="124"/>
        <w:gridCol w:w="778"/>
        <w:gridCol w:w="203"/>
        <w:gridCol w:w="591"/>
        <w:gridCol w:w="270"/>
        <w:gridCol w:w="501"/>
        <w:gridCol w:w="287"/>
        <w:gridCol w:w="669"/>
        <w:gridCol w:w="127"/>
        <w:gridCol w:w="1135"/>
      </w:tblGrid>
      <w:tr w:rsidR="00CF6A54" w:rsidTr="00CF6A54">
        <w:tc>
          <w:tcPr>
            <w:tcW w:w="370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Balance Sheet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Income Statement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Statement of</w:t>
            </w:r>
          </w:p>
        </w:tc>
      </w:tr>
      <w:tr w:rsidR="00CF6A54" w:rsidTr="00CF6A54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Dividends</w:t>
            </w: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Payable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Stock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Retained</w:t>
            </w: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 Inc.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Cash Flows</w:t>
            </w:r>
          </w:p>
        </w:tc>
      </w:tr>
      <w:tr w:rsidR="00CF6A54" w:rsidTr="00CF6A54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(50,000)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(50,000)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A54" w:rsidRDefault="00CF6A54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(50,000)  FA</w:t>
            </w:r>
          </w:p>
        </w:tc>
      </w:tr>
    </w:tbl>
    <w:p w:rsidR="003F1287" w:rsidRDefault="003F1287" w:rsidP="003F1287">
      <w:pPr>
        <w:tabs>
          <w:tab w:val="left" w:pos="3994"/>
        </w:tabs>
        <w:ind w:left="900" w:hanging="450"/>
      </w:pPr>
      <w:r>
        <w:tab/>
      </w:r>
      <w:r>
        <w:tab/>
      </w:r>
    </w:p>
    <w:p w:rsidR="003F1287" w:rsidRDefault="003F1287"/>
    <w:p w:rsidR="002649AB" w:rsidRDefault="00B15F6C" w:rsidP="002649AB">
      <w:pPr>
        <w:ind w:left="450" w:right="-180" w:hanging="450"/>
      </w:pPr>
      <w:r>
        <w:t>12</w:t>
      </w:r>
      <w:r w:rsidR="00051B63">
        <w:t>.</w:t>
      </w:r>
      <w:r w:rsidR="00051B63">
        <w:tab/>
        <w:t>Modesto</w:t>
      </w:r>
      <w:r w:rsidR="002649AB" w:rsidRPr="00BF72D6">
        <w:t xml:space="preserve"> Corporation issued a </w:t>
      </w:r>
      <w:r w:rsidR="00051B63">
        <w:t>5</w:t>
      </w:r>
      <w:r w:rsidR="002649AB">
        <w:t xml:space="preserve"> percent stock dividend on the 30,000 shares of stock outstanding.  The par value of the common stock was </w:t>
      </w:r>
      <w:r w:rsidR="002649AB" w:rsidRPr="00BF72D6">
        <w:t xml:space="preserve">$10 </w:t>
      </w:r>
      <w:r w:rsidR="002649AB">
        <w:t>per share</w:t>
      </w:r>
      <w:r w:rsidR="002649AB" w:rsidRPr="00BF72D6">
        <w:t>. At the time of the dividend, the market value of the stock was $</w:t>
      </w:r>
      <w:r w:rsidR="002649AB">
        <w:t>4</w:t>
      </w:r>
      <w:r w:rsidR="002649AB" w:rsidRPr="00BF72D6">
        <w:t>0 per share.</w:t>
      </w:r>
      <w:r w:rsidR="002649AB">
        <w:t xml:space="preserve">  Which of the following shows how the st</w:t>
      </w:r>
      <w:r w:rsidR="00051B63">
        <w:t>ock dividend will affect Modesto</w:t>
      </w:r>
      <w:r w:rsidR="002649AB">
        <w:t>’s financial statements?</w:t>
      </w:r>
    </w:p>
    <w:p w:rsidR="002649AB" w:rsidRDefault="002649AB" w:rsidP="002649AB">
      <w:pPr>
        <w:tabs>
          <w:tab w:val="left" w:pos="3994"/>
        </w:tabs>
        <w:ind w:left="900" w:hanging="450"/>
      </w:pPr>
      <w:r>
        <w:t>a.</w:t>
      </w:r>
      <w:r>
        <w:tab/>
      </w:r>
      <w:r>
        <w:tab/>
      </w:r>
    </w:p>
    <w:tbl>
      <w:tblPr>
        <w:tblW w:w="7580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847"/>
        <w:gridCol w:w="173"/>
        <w:gridCol w:w="888"/>
        <w:gridCol w:w="124"/>
        <w:gridCol w:w="779"/>
        <w:gridCol w:w="203"/>
        <w:gridCol w:w="591"/>
        <w:gridCol w:w="270"/>
        <w:gridCol w:w="501"/>
        <w:gridCol w:w="287"/>
        <w:gridCol w:w="670"/>
        <w:gridCol w:w="127"/>
        <w:gridCol w:w="1136"/>
      </w:tblGrid>
      <w:tr w:rsidR="002649AB" w:rsidRPr="00AF6E47" w:rsidTr="009E263A"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2649AB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Stock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Additional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Paid-in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Retained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  <w:szCs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2649AB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NA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051B63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="002649AB">
              <w:rPr>
                <w:sz w:val="18"/>
              </w:rPr>
              <w:t>,000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9AB" w:rsidRDefault="00051B63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(60</w:t>
            </w:r>
            <w:r w:rsidR="002649AB">
              <w:rPr>
                <w:sz w:val="18"/>
              </w:rPr>
              <w:t>,000)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9AB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:rsidR="002649AB" w:rsidRDefault="002649AB" w:rsidP="002649AB">
      <w:pPr>
        <w:tabs>
          <w:tab w:val="left" w:pos="3994"/>
        </w:tabs>
        <w:ind w:left="900" w:hanging="450"/>
      </w:pPr>
      <w:r>
        <w:t>b.</w:t>
      </w:r>
      <w:r>
        <w:tab/>
      </w:r>
      <w:r>
        <w:tab/>
      </w:r>
    </w:p>
    <w:tbl>
      <w:tblPr>
        <w:tblW w:w="7580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847"/>
        <w:gridCol w:w="173"/>
        <w:gridCol w:w="888"/>
        <w:gridCol w:w="124"/>
        <w:gridCol w:w="779"/>
        <w:gridCol w:w="203"/>
        <w:gridCol w:w="591"/>
        <w:gridCol w:w="270"/>
        <w:gridCol w:w="501"/>
        <w:gridCol w:w="287"/>
        <w:gridCol w:w="670"/>
        <w:gridCol w:w="127"/>
        <w:gridCol w:w="1136"/>
      </w:tblGrid>
      <w:tr w:rsidR="002649AB" w:rsidRPr="00AF6E47" w:rsidTr="009E263A"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2649AB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Stock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Additional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Paid-in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Retained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  <w:szCs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2649AB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NA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051B63" w:rsidP="00AA0D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A0D3F">
              <w:rPr>
                <w:sz w:val="18"/>
              </w:rPr>
              <w:t>5</w:t>
            </w:r>
            <w:r w:rsidR="002649AB">
              <w:rPr>
                <w:sz w:val="18"/>
              </w:rPr>
              <w:t>,000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AA0D3F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 w:rsidR="002649AB">
              <w:rPr>
                <w:sz w:val="18"/>
              </w:rPr>
              <w:t>,000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9AB" w:rsidRDefault="00051B63" w:rsidP="00AA0D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AA0D3F">
              <w:rPr>
                <w:sz w:val="18"/>
              </w:rPr>
              <w:t>60</w:t>
            </w:r>
            <w:r w:rsidR="002649AB">
              <w:rPr>
                <w:sz w:val="18"/>
              </w:rPr>
              <w:t>,000)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9AB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:rsidR="002649AB" w:rsidRDefault="002649AB" w:rsidP="002649AB">
      <w:pPr>
        <w:tabs>
          <w:tab w:val="left" w:pos="3994"/>
        </w:tabs>
        <w:ind w:left="900" w:hanging="450"/>
      </w:pPr>
      <w:r>
        <w:t>c.</w:t>
      </w:r>
      <w:r>
        <w:tab/>
      </w:r>
      <w:r>
        <w:tab/>
      </w:r>
      <w:bookmarkStart w:id="0" w:name="_GoBack"/>
      <w:bookmarkEnd w:id="0"/>
    </w:p>
    <w:tbl>
      <w:tblPr>
        <w:tblW w:w="7580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847"/>
        <w:gridCol w:w="173"/>
        <w:gridCol w:w="888"/>
        <w:gridCol w:w="124"/>
        <w:gridCol w:w="779"/>
        <w:gridCol w:w="203"/>
        <w:gridCol w:w="591"/>
        <w:gridCol w:w="270"/>
        <w:gridCol w:w="501"/>
        <w:gridCol w:w="287"/>
        <w:gridCol w:w="670"/>
        <w:gridCol w:w="127"/>
        <w:gridCol w:w="1136"/>
      </w:tblGrid>
      <w:tr w:rsidR="002649AB" w:rsidRPr="00AF6E47" w:rsidTr="009E263A"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2649AB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Stock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Additional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Paid-in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Retained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  <w:szCs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2649AB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051B63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(60</w:t>
            </w:r>
            <w:r w:rsidR="002649AB">
              <w:rPr>
                <w:rFonts w:cstheme="minorHAnsi"/>
                <w:sz w:val="18"/>
              </w:rPr>
              <w:t>,000)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9AB" w:rsidRDefault="00051B63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(60</w:t>
            </w:r>
            <w:r w:rsidR="002649AB">
              <w:rPr>
                <w:sz w:val="18"/>
              </w:rPr>
              <w:t>,000)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9AB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B" w:rsidRPr="00AF6E47" w:rsidRDefault="00051B63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(60</w:t>
            </w:r>
            <w:r w:rsidR="002649AB">
              <w:rPr>
                <w:sz w:val="18"/>
              </w:rPr>
              <w:t>,000) FA</w:t>
            </w:r>
          </w:p>
        </w:tc>
      </w:tr>
    </w:tbl>
    <w:p w:rsidR="002649AB" w:rsidRDefault="002649AB" w:rsidP="002649AB">
      <w:pPr>
        <w:tabs>
          <w:tab w:val="left" w:pos="3994"/>
        </w:tabs>
        <w:ind w:left="900" w:hanging="450"/>
      </w:pPr>
      <w:r>
        <w:t>d.</w:t>
      </w:r>
      <w:r>
        <w:tab/>
      </w:r>
      <w:r>
        <w:tab/>
      </w:r>
    </w:p>
    <w:tbl>
      <w:tblPr>
        <w:tblW w:w="7580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4"/>
        <w:gridCol w:w="847"/>
        <w:gridCol w:w="173"/>
        <w:gridCol w:w="888"/>
        <w:gridCol w:w="124"/>
        <w:gridCol w:w="779"/>
        <w:gridCol w:w="203"/>
        <w:gridCol w:w="591"/>
        <w:gridCol w:w="270"/>
        <w:gridCol w:w="501"/>
        <w:gridCol w:w="287"/>
        <w:gridCol w:w="670"/>
        <w:gridCol w:w="127"/>
        <w:gridCol w:w="1136"/>
      </w:tblGrid>
      <w:tr w:rsidR="002649AB" w:rsidRPr="00AF6E47" w:rsidTr="009E263A"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Balance Sheet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Income Statement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Statement of</w:t>
            </w:r>
          </w:p>
        </w:tc>
      </w:tr>
      <w:tr w:rsidR="002649AB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Assets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Stock</w:t>
            </w: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Additional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Paid-in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Retained</w:t>
            </w: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Earnings</w:t>
            </w: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Rev.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  <w:szCs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Exp.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=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649AB" w:rsidRDefault="002649AB" w:rsidP="009E263A">
            <w:pPr>
              <w:jc w:val="center"/>
              <w:rPr>
                <w:b/>
                <w:sz w:val="18"/>
              </w:rPr>
            </w:pPr>
          </w:p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Net Inc.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b/>
                <w:sz w:val="18"/>
              </w:rPr>
            </w:pPr>
            <w:r w:rsidRPr="00AF6E47">
              <w:rPr>
                <w:b/>
                <w:sz w:val="18"/>
              </w:rPr>
              <w:t>Cash Flow</w:t>
            </w:r>
            <w:r>
              <w:rPr>
                <w:b/>
                <w:sz w:val="18"/>
              </w:rPr>
              <w:t>s</w:t>
            </w:r>
          </w:p>
        </w:tc>
      </w:tr>
      <w:tr w:rsidR="002649AB" w:rsidRPr="00AF6E47" w:rsidTr="009E263A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rFonts w:cstheme="minorHAnsi"/>
                <w:sz w:val="18"/>
              </w:rPr>
              <w:t>NA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051B63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(60</w:t>
            </w:r>
            <w:r w:rsidR="002649AB">
              <w:rPr>
                <w:sz w:val="18"/>
              </w:rPr>
              <w:t>,000)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051B63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 w:rsidR="002649AB">
              <w:rPr>
                <w:sz w:val="18"/>
              </w:rPr>
              <w:t>,000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9AB" w:rsidRDefault="00051B63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2649AB">
              <w:rPr>
                <w:sz w:val="18"/>
              </w:rPr>
              <w:t>,000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9AB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 w:rsidRPr="00AF6E47">
              <w:rPr>
                <w:sz w:val="18"/>
              </w:rPr>
              <w:t>NA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B" w:rsidRPr="00AF6E47" w:rsidRDefault="002649AB" w:rsidP="009E26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 w:rsidR="003F1287" w:rsidRDefault="003F1287"/>
    <w:p w:rsidR="002649AB" w:rsidRDefault="00051B63" w:rsidP="002649AB">
      <w:pPr>
        <w:ind w:left="450" w:right="-180" w:hanging="450"/>
      </w:pPr>
      <w:r>
        <w:lastRenderedPageBreak/>
        <w:t>13</w:t>
      </w:r>
      <w:r w:rsidR="002649AB">
        <w:t>.</w:t>
      </w:r>
      <w:r w:rsidR="002649AB">
        <w:tab/>
        <w:t>A general journal entry is not required to recognize a stock split.  This statement is</w:t>
      </w:r>
    </w:p>
    <w:p w:rsidR="002649AB" w:rsidRDefault="002649AB" w:rsidP="002649AB">
      <w:pPr>
        <w:tabs>
          <w:tab w:val="left" w:pos="3994"/>
        </w:tabs>
        <w:ind w:left="900" w:hanging="450"/>
      </w:pPr>
      <w:r>
        <w:t>a.</w:t>
      </w:r>
      <w:r>
        <w:tab/>
        <w:t>true.</w:t>
      </w:r>
    </w:p>
    <w:p w:rsidR="002649AB" w:rsidRDefault="002649AB" w:rsidP="002649AB">
      <w:pPr>
        <w:tabs>
          <w:tab w:val="left" w:pos="3994"/>
        </w:tabs>
        <w:ind w:left="900" w:hanging="450"/>
      </w:pPr>
      <w:r>
        <w:t>b.</w:t>
      </w:r>
      <w:r>
        <w:tab/>
        <w:t>false.</w:t>
      </w:r>
    </w:p>
    <w:sectPr w:rsidR="0026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7"/>
    <w:rsid w:val="00051B63"/>
    <w:rsid w:val="00066742"/>
    <w:rsid w:val="000D70FE"/>
    <w:rsid w:val="001150FF"/>
    <w:rsid w:val="002649AB"/>
    <w:rsid w:val="00312C49"/>
    <w:rsid w:val="003F1287"/>
    <w:rsid w:val="005165BA"/>
    <w:rsid w:val="0073716A"/>
    <w:rsid w:val="009E263A"/>
    <w:rsid w:val="00A24FD6"/>
    <w:rsid w:val="00AA0D3F"/>
    <w:rsid w:val="00B15F6C"/>
    <w:rsid w:val="00CF6A54"/>
    <w:rsid w:val="00ED5E53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5EA5"/>
  <w15:chartTrackingRefBased/>
  <w15:docId w15:val="{DACEBFD7-5D6D-4B8E-80E9-B119AA7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Molly G - brownmg</dc:creator>
  <cp:keywords/>
  <dc:description/>
  <cp:lastModifiedBy>Desktop Services</cp:lastModifiedBy>
  <cp:revision>3</cp:revision>
  <cp:lastPrinted>2019-04-12T15:45:00Z</cp:lastPrinted>
  <dcterms:created xsi:type="dcterms:W3CDTF">2019-04-12T15:05:00Z</dcterms:created>
  <dcterms:modified xsi:type="dcterms:W3CDTF">2019-04-12T15:49:00Z</dcterms:modified>
</cp:coreProperties>
</file>