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03" w:rsidRDefault="00A63A03" w:rsidP="00A63A03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Final Exam Sample Questions</w:t>
      </w:r>
    </w:p>
    <w:p w:rsidR="00A63A03" w:rsidRDefault="00A63A03" w:rsidP="00A63A03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(Mostly forecasting)</w:t>
      </w:r>
    </w:p>
    <w:p w:rsidR="00000000" w:rsidRDefault="00A63A03" w:rsidP="00A63A03">
      <w:pPr>
        <w:ind w:left="360"/>
        <w:jc w:val="center"/>
      </w:pPr>
      <w:r>
        <w:rPr>
          <w:sz w:val="36"/>
          <w:szCs w:val="36"/>
        </w:rPr>
        <w:t>S</w:t>
      </w:r>
      <w:bookmarkStart w:id="0" w:name="_GoBack"/>
      <w:bookmarkEnd w:id="0"/>
      <w:r>
        <w:rPr>
          <w:sz w:val="36"/>
          <w:szCs w:val="36"/>
        </w:rPr>
        <w:t>cott Stevens</w:t>
      </w:r>
      <w:r>
        <w:br w:type="page"/>
      </w:r>
      <w:r>
        <w:lastRenderedPageBreak/>
        <w:t xml:space="preserve">1.  </w:t>
      </w:r>
      <w:r>
        <w:t xml:space="preserve">Which of the following is </w:t>
      </w:r>
      <w:r>
        <w:rPr>
          <w:i/>
        </w:rPr>
        <w:t>not</w:t>
      </w:r>
      <w:r>
        <w:t xml:space="preserve"> one of the four components of a time series, as discus</w:t>
      </w:r>
      <w:r>
        <w:t>sed by your text?</w:t>
      </w:r>
    </w:p>
    <w:p w:rsidR="00000000" w:rsidRDefault="00A63A03" w:rsidP="00A63A03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commentRangeStart w:id="1"/>
      <w:r>
        <w:t>historical component</w:t>
      </w:r>
    </w:p>
    <w:p w:rsidR="00000000" w:rsidRDefault="00A63A03" w:rsidP="00A63A03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trend component</w:t>
      </w:r>
    </w:p>
    <w:p w:rsidR="00000000" w:rsidRDefault="00A63A03" w:rsidP="00A63A03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irregular component</w:t>
      </w:r>
    </w:p>
    <w:p w:rsidR="00000000" w:rsidRDefault="00A63A03" w:rsidP="00A63A03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>seasonal component</w:t>
      </w:r>
      <w:commentRangeEnd w:id="1"/>
      <w:r>
        <w:rPr>
          <w:rStyle w:val="CommentReference"/>
          <w:vanish/>
        </w:rPr>
        <w:commentReference w:id="1"/>
      </w:r>
    </w:p>
    <w:p w:rsidR="00000000" w:rsidRDefault="00A63A03"/>
    <w:p w:rsidR="00000000" w:rsidRDefault="00A63A03">
      <w:r>
        <w:t xml:space="preserve">For questions 2-8, identify the forecasting technique to which the given statement </w:t>
      </w:r>
      <w:r>
        <w:rPr>
          <w:i/>
        </w:rPr>
        <w:t>best</w:t>
      </w:r>
      <w:r>
        <w:t xml:space="preserve"> applies.  As a reminder, the “seasonally adjusted tre</w:t>
      </w:r>
      <w:r>
        <w:t>nd” is the technique from section 16.4, which we was demonstrated on the last day of class.</w:t>
      </w:r>
    </w:p>
    <w:p w:rsidR="00000000" w:rsidRDefault="00A63A03"/>
    <w:p w:rsidR="00000000" w:rsidRDefault="00A63A03" w:rsidP="00A63A03">
      <w:pPr>
        <w:numPr>
          <w:ilvl w:val="0"/>
          <w:numId w:val="2"/>
        </w:numPr>
      </w:pPr>
      <w:r>
        <w:t>The technique is able to anticipate a continuing trend.</w:t>
      </w:r>
    </w:p>
    <w:p w:rsidR="00000000" w:rsidRDefault="00A63A03">
      <w:pPr>
        <w:ind w:firstLine="720"/>
      </w:pPr>
      <w:commentRangeStart w:id="2"/>
      <w:r>
        <w:t xml:space="preserve">a)  </w:t>
      </w:r>
      <w:proofErr w:type="gramStart"/>
      <w:r>
        <w:t>simple</w:t>
      </w:r>
      <w:proofErr w:type="gramEnd"/>
      <w:r>
        <w:t xml:space="preserve"> moving average  b)  weighted moving average   c)  exponential smoothing   </w:t>
      </w:r>
    </w:p>
    <w:p w:rsidR="00000000" w:rsidRDefault="00A63A03">
      <w:pPr>
        <w:ind w:left="720"/>
      </w:pPr>
      <w:r>
        <w:t xml:space="preserve">d)  </w:t>
      </w:r>
      <w:proofErr w:type="gramStart"/>
      <w:r>
        <w:t>linear</w:t>
      </w:r>
      <w:proofErr w:type="gramEnd"/>
      <w:r>
        <w:t xml:space="preserve"> regression</w:t>
      </w:r>
      <w:r>
        <w:t xml:space="preserve">  e)  all of these techniques can anticipate a continuing trend.</w:t>
      </w:r>
      <w:commentRangeEnd w:id="2"/>
      <w:r>
        <w:rPr>
          <w:rStyle w:val="CommentReference"/>
          <w:vanish/>
        </w:rPr>
        <w:commentReference w:id="2"/>
      </w:r>
    </w:p>
    <w:p w:rsidR="00000000" w:rsidRDefault="00A63A03"/>
    <w:p w:rsidR="00000000" w:rsidRDefault="00A63A03" w:rsidP="00A63A03">
      <w:pPr>
        <w:numPr>
          <w:ilvl w:val="0"/>
          <w:numId w:val="2"/>
        </w:numPr>
      </w:pPr>
      <w:r>
        <w:t>The technique allows forecasts for more than one period beyond the final observation.  (That is, we could use monthly data from January to May, yet forecast a value for July.)</w:t>
      </w:r>
    </w:p>
    <w:p w:rsidR="00000000" w:rsidRDefault="00A63A03">
      <w:pPr>
        <w:ind w:firstLine="720"/>
      </w:pPr>
      <w:commentRangeStart w:id="3"/>
      <w:r>
        <w:t xml:space="preserve">a)  </w:t>
      </w:r>
      <w:proofErr w:type="gramStart"/>
      <w:r>
        <w:t>simple</w:t>
      </w:r>
      <w:proofErr w:type="gramEnd"/>
      <w:r>
        <w:t xml:space="preserve"> mo</w:t>
      </w:r>
      <w:r>
        <w:t xml:space="preserve">ving average  b)  weighted moving average   c)  exponential smoothing   </w:t>
      </w:r>
    </w:p>
    <w:p w:rsidR="00000000" w:rsidRDefault="00A63A03">
      <w:pPr>
        <w:ind w:left="720"/>
      </w:pPr>
      <w:r>
        <w:t xml:space="preserve">d)  </w:t>
      </w:r>
      <w:proofErr w:type="gramStart"/>
      <w:r>
        <w:t>seasonally</w:t>
      </w:r>
      <w:proofErr w:type="gramEnd"/>
      <w:r>
        <w:t xml:space="preserve"> adjusted trend  e) none of these can forecast more than one period in advance.</w:t>
      </w:r>
      <w:commentRangeEnd w:id="3"/>
      <w:r>
        <w:rPr>
          <w:rStyle w:val="CommentReference"/>
          <w:vanish/>
        </w:rPr>
        <w:commentReference w:id="3"/>
      </w:r>
    </w:p>
    <w:p w:rsidR="00000000" w:rsidRDefault="00A63A03"/>
    <w:p w:rsidR="00000000" w:rsidRDefault="00A63A03" w:rsidP="00A63A03">
      <w:pPr>
        <w:numPr>
          <w:ilvl w:val="0"/>
          <w:numId w:val="4"/>
        </w:numPr>
      </w:pPr>
      <w:r>
        <w:t xml:space="preserve">This is the </w:t>
      </w:r>
      <w:r>
        <w:rPr>
          <w:u w:val="single"/>
        </w:rPr>
        <w:t>simplest</w:t>
      </w:r>
      <w:r>
        <w:t xml:space="preserve"> technique which allows for the modeling of seasonal variation.</w:t>
      </w:r>
    </w:p>
    <w:p w:rsidR="00000000" w:rsidRDefault="00A63A03" w:rsidP="00A63A03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commentRangeStart w:id="4"/>
      <w:r>
        <w:t xml:space="preserve">a) </w:t>
      </w:r>
      <w:r>
        <w:t xml:space="preserve"> simple moving average  b)  weighted moving average   c)  exponential smoothing   </w:t>
      </w:r>
    </w:p>
    <w:p w:rsidR="00000000" w:rsidRDefault="00A63A03" w:rsidP="00A63A03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>d) linear regression  e) seasonally adjusted trend</w:t>
      </w:r>
      <w:commentRangeEnd w:id="4"/>
      <w:r>
        <w:rPr>
          <w:rStyle w:val="CommentReference"/>
          <w:vanish/>
        </w:rPr>
        <w:commentReference w:id="4"/>
      </w:r>
    </w:p>
    <w:p w:rsidR="00000000" w:rsidRDefault="00A63A03"/>
    <w:p w:rsidR="00000000" w:rsidRDefault="00A63A03" w:rsidP="00A63A03">
      <w:pPr>
        <w:numPr>
          <w:ilvl w:val="0"/>
          <w:numId w:val="4"/>
        </w:numPr>
      </w:pPr>
      <w:r>
        <w:t>This technique results in a forecast which falls farther and farther behind a continuing linear trend.</w:t>
      </w:r>
    </w:p>
    <w:p w:rsidR="00000000" w:rsidRDefault="00A63A03">
      <w:pPr>
        <w:ind w:firstLine="720"/>
      </w:pPr>
      <w:commentRangeStart w:id="5"/>
      <w:r>
        <w:t xml:space="preserve">a)  </w:t>
      </w:r>
      <w:proofErr w:type="gramStart"/>
      <w:r>
        <w:t>simple</w:t>
      </w:r>
      <w:proofErr w:type="gramEnd"/>
      <w:r>
        <w:t xml:space="preserve"> moving</w:t>
      </w:r>
      <w:r>
        <w:t xml:space="preserve"> average  b)  weighted moving average   c)  exponential smoothing   </w:t>
      </w:r>
    </w:p>
    <w:p w:rsidR="00000000" w:rsidRDefault="00A63A03" w:rsidP="00A63A03">
      <w:pPr>
        <w:numPr>
          <w:ilvl w:val="0"/>
          <w:numId w:val="5"/>
        </w:numPr>
        <w:tabs>
          <w:tab w:val="clear" w:pos="360"/>
          <w:tab w:val="num" w:pos="720"/>
        </w:tabs>
        <w:ind w:left="720"/>
      </w:pPr>
      <w:r>
        <w:t xml:space="preserve">d)  </w:t>
      </w:r>
      <w:proofErr w:type="gramStart"/>
      <w:r>
        <w:t>linear</w:t>
      </w:r>
      <w:proofErr w:type="gramEnd"/>
      <w:r>
        <w:t xml:space="preserve"> regression  e)  seasonally adjusted trend.</w:t>
      </w:r>
      <w:commentRangeEnd w:id="5"/>
      <w:r>
        <w:rPr>
          <w:rStyle w:val="CommentReference"/>
          <w:vanish/>
        </w:rPr>
        <w:commentReference w:id="5"/>
      </w:r>
    </w:p>
    <w:p w:rsidR="00000000" w:rsidRDefault="00A63A03"/>
    <w:p w:rsidR="00000000" w:rsidRDefault="00A63A03" w:rsidP="00A63A03">
      <w:pPr>
        <w:numPr>
          <w:ilvl w:val="0"/>
          <w:numId w:val="4"/>
        </w:numPr>
      </w:pPr>
      <w:r>
        <w:t xml:space="preserve">This is the </w:t>
      </w:r>
      <w:r>
        <w:rPr>
          <w:u w:val="single"/>
        </w:rPr>
        <w:t>simplest</w:t>
      </w:r>
      <w:r>
        <w:t xml:space="preserve"> technique which permits both the anticipation of a continuing trend and the modeling of seasonal variation.</w:t>
      </w:r>
    </w:p>
    <w:p w:rsidR="00000000" w:rsidRDefault="00A63A03">
      <w:pPr>
        <w:ind w:firstLine="720"/>
      </w:pPr>
      <w:commentRangeStart w:id="6"/>
      <w:r>
        <w:t>a)</w:t>
      </w:r>
      <w:r>
        <w:t xml:space="preserve">  </w:t>
      </w:r>
      <w:proofErr w:type="gramStart"/>
      <w:r>
        <w:t>simple</w:t>
      </w:r>
      <w:proofErr w:type="gramEnd"/>
      <w:r>
        <w:t xml:space="preserve"> moving average  b)  weighted moving average   c)  exponential smoothing   </w:t>
      </w:r>
    </w:p>
    <w:p w:rsidR="00000000" w:rsidRDefault="00A63A03">
      <w:pPr>
        <w:ind w:left="720"/>
      </w:pPr>
      <w:r>
        <w:t xml:space="preserve">d)  </w:t>
      </w:r>
      <w:proofErr w:type="gramStart"/>
      <w:r>
        <w:t>linear</w:t>
      </w:r>
      <w:proofErr w:type="gramEnd"/>
      <w:r>
        <w:t xml:space="preserve"> regression  e) seasonally adjusted trend</w:t>
      </w:r>
      <w:commentRangeEnd w:id="6"/>
      <w:r>
        <w:rPr>
          <w:rStyle w:val="CommentReference"/>
          <w:vanish/>
        </w:rPr>
        <w:commentReference w:id="6"/>
      </w:r>
    </w:p>
    <w:p w:rsidR="00000000" w:rsidRDefault="00A63A03"/>
    <w:p w:rsidR="00000000" w:rsidRDefault="00A63A03">
      <w:r>
        <w:t>7.  This is the easiest of the techniques to explain to the mathematically untrained.</w:t>
      </w:r>
    </w:p>
    <w:p w:rsidR="00000000" w:rsidRDefault="00A63A03">
      <w:pPr>
        <w:ind w:firstLine="720"/>
      </w:pPr>
      <w:commentRangeStart w:id="7"/>
      <w:r>
        <w:t xml:space="preserve">a)  </w:t>
      </w:r>
      <w:proofErr w:type="gramStart"/>
      <w:r>
        <w:t>simple</w:t>
      </w:r>
      <w:proofErr w:type="gramEnd"/>
      <w:r>
        <w:t xml:space="preserve"> moving average  b)  w</w:t>
      </w:r>
      <w:r>
        <w:t xml:space="preserve">eighted moving average   c)  exponential smoothing   </w:t>
      </w:r>
    </w:p>
    <w:p w:rsidR="00000000" w:rsidRDefault="00A63A03">
      <w:pPr>
        <w:ind w:left="720"/>
      </w:pPr>
      <w:r>
        <w:t xml:space="preserve">d)  </w:t>
      </w:r>
      <w:proofErr w:type="gramStart"/>
      <w:r>
        <w:t>linear</w:t>
      </w:r>
      <w:proofErr w:type="gramEnd"/>
      <w:r>
        <w:t xml:space="preserve"> regression  e) seasonally adjusted trend</w:t>
      </w:r>
      <w:commentRangeEnd w:id="7"/>
      <w:r>
        <w:rPr>
          <w:rStyle w:val="CommentReference"/>
          <w:vanish/>
        </w:rPr>
        <w:commentReference w:id="7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The height of the grass in my lawn is approximated by the relation H = 0.14 D + 1.4, where D is the number of days since I have cut my lawn, and H i</w:t>
      </w:r>
      <w:r>
        <w:t>s the height of the grass in inches. I obtained this formula by applying one of our forecasting techniques to observed data.  Which technique was probably used?</w:t>
      </w:r>
    </w:p>
    <w:p w:rsidR="00000000" w:rsidRDefault="00A63A03">
      <w:pPr>
        <w:ind w:firstLine="720"/>
      </w:pPr>
      <w:commentRangeStart w:id="8"/>
      <w:r>
        <w:t xml:space="preserve">a)  </w:t>
      </w:r>
      <w:proofErr w:type="gramStart"/>
      <w:r>
        <w:t>simple</w:t>
      </w:r>
      <w:proofErr w:type="gramEnd"/>
      <w:r>
        <w:t xml:space="preserve"> moving average  b)  weighted moving average   c)  exponential smoothing   </w:t>
      </w:r>
    </w:p>
    <w:p w:rsidR="00000000" w:rsidRDefault="00A63A03">
      <w:pPr>
        <w:ind w:left="720"/>
      </w:pPr>
      <w:r>
        <w:t xml:space="preserve">d)  </w:t>
      </w:r>
      <w:proofErr w:type="gramStart"/>
      <w:r>
        <w:t>linea</w:t>
      </w:r>
      <w:r>
        <w:t>r</w:t>
      </w:r>
      <w:proofErr w:type="gramEnd"/>
      <w:r>
        <w:t xml:space="preserve"> regression  e) seasonally adjusted trend</w:t>
      </w:r>
      <w:commentRangeEnd w:id="8"/>
      <w:r>
        <w:rPr>
          <w:rStyle w:val="CommentReference"/>
          <w:vanish/>
        </w:rPr>
        <w:commentReference w:id="8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br w:type="page"/>
      </w:r>
      <w:r>
        <w:lastRenderedPageBreak/>
        <w:t xml:space="preserve">Assume that the height of the grass in my lawn </w:t>
      </w:r>
      <w:r>
        <w:rPr>
          <w:u w:val="single"/>
        </w:rPr>
        <w:t>is</w:t>
      </w:r>
      <w:r>
        <w:t xml:space="preserve"> given by the relation H = 0.14D + 1.4, where D is the number of days since I have cut my lawn, and H is the height of the grass in inches.  Which of the followin</w:t>
      </w:r>
      <w:r>
        <w:t xml:space="preserve">g statements is </w:t>
      </w:r>
      <w:r>
        <w:rPr>
          <w:i/>
        </w:rPr>
        <w:t>not</w:t>
      </w:r>
      <w:r>
        <w:t xml:space="preserve"> consistent with this assumption?</w:t>
      </w:r>
    </w:p>
    <w:p w:rsidR="00000000" w:rsidRDefault="00A63A03" w:rsidP="00A63A03">
      <w:pPr>
        <w:numPr>
          <w:ilvl w:val="0"/>
          <w:numId w:val="7"/>
        </w:numPr>
      </w:pPr>
      <w:commentRangeStart w:id="9"/>
      <w:r>
        <w:t>My grass grows over an inch a week</w:t>
      </w:r>
      <w:commentRangeEnd w:id="9"/>
      <w:r>
        <w:rPr>
          <w:rStyle w:val="CommentReference"/>
          <w:vanish/>
        </w:rPr>
        <w:commentReference w:id="9"/>
      </w:r>
      <w:r>
        <w:t>.</w:t>
      </w:r>
    </w:p>
    <w:p w:rsidR="00000000" w:rsidRDefault="00A63A03" w:rsidP="00A63A03">
      <w:pPr>
        <w:numPr>
          <w:ilvl w:val="0"/>
          <w:numId w:val="7"/>
        </w:numPr>
      </w:pPr>
      <w:commentRangeStart w:id="10"/>
      <w:r>
        <w:t>I cut my grass to a height of 1.4 inches.</w:t>
      </w:r>
      <w:commentRangeEnd w:id="10"/>
      <w:r>
        <w:rPr>
          <w:rStyle w:val="CommentReference"/>
          <w:vanish/>
        </w:rPr>
        <w:commentReference w:id="10"/>
      </w:r>
    </w:p>
    <w:p w:rsidR="00000000" w:rsidRDefault="00A63A03" w:rsidP="00A63A03">
      <w:pPr>
        <w:numPr>
          <w:ilvl w:val="0"/>
          <w:numId w:val="7"/>
        </w:numPr>
      </w:pPr>
      <w:commentRangeStart w:id="11"/>
      <w:r>
        <w:t>The height of my grass grows exactly the same amount every day.</w:t>
      </w:r>
      <w:commentRangeEnd w:id="11"/>
      <w:r>
        <w:rPr>
          <w:rStyle w:val="CommentReference"/>
          <w:vanish/>
        </w:rPr>
        <w:commentReference w:id="11"/>
      </w:r>
    </w:p>
    <w:p w:rsidR="00000000" w:rsidRDefault="00A63A03" w:rsidP="00A63A03">
      <w:pPr>
        <w:numPr>
          <w:ilvl w:val="0"/>
          <w:numId w:val="7"/>
        </w:numPr>
      </w:pPr>
      <w:commentRangeStart w:id="12"/>
      <w:r>
        <w:t>My grass continues to grow taller and taller.</w:t>
      </w:r>
      <w:commentRangeEnd w:id="12"/>
      <w:r>
        <w:rPr>
          <w:rStyle w:val="CommentReference"/>
          <w:vanish/>
        </w:rPr>
        <w:commentReference w:id="12"/>
      </w:r>
    </w:p>
    <w:p w:rsidR="00000000" w:rsidRDefault="00A63A03" w:rsidP="00A63A03">
      <w:pPr>
        <w:numPr>
          <w:ilvl w:val="0"/>
          <w:numId w:val="7"/>
        </w:numPr>
      </w:pPr>
      <w:commentRangeStart w:id="13"/>
      <w:r>
        <w:t>1 day after</w:t>
      </w:r>
      <w:r>
        <w:t xml:space="preserve"> I mow my lawn, my grass is 1.54 inches high.</w:t>
      </w:r>
      <w:commentRangeEnd w:id="13"/>
      <w:r>
        <w:rPr>
          <w:rStyle w:val="CommentReference"/>
          <w:vanish/>
        </w:rPr>
        <w:commentReference w:id="13"/>
      </w:r>
    </w:p>
    <w:p w:rsidR="00000000" w:rsidRDefault="00A63A03">
      <w:pPr>
        <w:ind w:left="720"/>
      </w:pPr>
    </w:p>
    <w:p w:rsidR="00000000" w:rsidRDefault="00A63A03"/>
    <w:p w:rsidR="00000000" w:rsidRDefault="00A63A03">
      <w:r>
        <w:t xml:space="preserve">Questions 10-12 refer to the data appearing in the table below.  Examine it carefully.  </w:t>
      </w:r>
      <w:proofErr w:type="gramStart"/>
      <w:r>
        <w:t>w</w:t>
      </w:r>
      <w:proofErr w:type="gramEnd"/>
      <w:r>
        <w:t xml:space="preserve"> is the weight vector; that is, the weight for the most recent observation in the weighted moving average is 0.8, and </w:t>
      </w:r>
      <w:r>
        <w:t>so on.  You may use the table’s empty cells for your calculations, if you wish.</w:t>
      </w:r>
    </w:p>
    <w:p w:rsidR="00000000" w:rsidRDefault="00A63A03">
      <w:pPr>
        <w:rPr>
          <w:color w:val="FF0000"/>
        </w:rPr>
      </w:pPr>
      <w:r>
        <w:rPr>
          <w:color w:val="FF0000"/>
        </w:rPr>
        <w:t xml:space="preserve">TO SEE MY CALCULATIONS, </w:t>
      </w:r>
    </w:p>
    <w:p w:rsidR="00000000" w:rsidRDefault="00A63A03">
      <w:pPr>
        <w:rPr>
          <w:color w:val="FF0000"/>
        </w:rPr>
      </w:pPr>
      <w:r>
        <w:rPr>
          <w:color w:val="FF0000"/>
        </w:rPr>
        <w:t>HIGHLIGHT THE TABLE AND CHOOSE FORMAT/FONT COLOR/AUTOMATIC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846"/>
        <w:gridCol w:w="1341"/>
        <w:gridCol w:w="2211"/>
        <w:gridCol w:w="2421"/>
        <w:gridCol w:w="24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000000" w:rsidRDefault="00A63A03">
            <w:r>
              <w:t>Period</w:t>
            </w:r>
          </w:p>
        </w:tc>
        <w:tc>
          <w:tcPr>
            <w:tcW w:w="1341" w:type="dxa"/>
          </w:tcPr>
          <w:p w:rsidR="00000000" w:rsidRDefault="00A63A03">
            <w:r>
              <w:t>Actual value</w:t>
            </w:r>
          </w:p>
        </w:tc>
        <w:tc>
          <w:tcPr>
            <w:tcW w:w="2211" w:type="dxa"/>
          </w:tcPr>
          <w:p w:rsidR="00000000" w:rsidRDefault="00A63A03">
            <w:r>
              <w:t>Simple moving average</w:t>
            </w:r>
          </w:p>
          <w:p w:rsidR="00000000" w:rsidRDefault="00A63A03">
            <w:pPr>
              <w:jc w:val="center"/>
            </w:pPr>
            <w:r>
              <w:t>n = 3</w:t>
            </w:r>
          </w:p>
        </w:tc>
        <w:tc>
          <w:tcPr>
            <w:tcW w:w="2421" w:type="dxa"/>
          </w:tcPr>
          <w:p w:rsidR="00000000" w:rsidRDefault="00A63A03">
            <w:pPr>
              <w:jc w:val="center"/>
            </w:pPr>
            <w:r>
              <w:t>Exponential smoothing</w:t>
            </w:r>
          </w:p>
          <w:p w:rsidR="00000000" w:rsidRDefault="00A63A03">
            <w:pPr>
              <w:jc w:val="center"/>
            </w:pPr>
            <w:r>
              <w:sym w:font="Symbol" w:char="F061"/>
            </w:r>
            <w:r>
              <w:t xml:space="preserve"> = .1</w:t>
            </w:r>
          </w:p>
        </w:tc>
        <w:tc>
          <w:tcPr>
            <w:tcW w:w="2421" w:type="dxa"/>
          </w:tcPr>
          <w:p w:rsidR="00000000" w:rsidRDefault="00A63A03">
            <w:r>
              <w:t>Weighted moving</w:t>
            </w:r>
            <w:r>
              <w:t xml:space="preserve"> average</w:t>
            </w:r>
          </w:p>
          <w:p w:rsidR="00000000" w:rsidRDefault="00A63A03">
            <w:r>
              <w:t>n = 3, w = (.8, .1, .1)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6" w:type="dxa"/>
          </w:tcPr>
          <w:p w:rsidR="00000000" w:rsidRDefault="00A63A03">
            <w:r>
              <w:t>1</w:t>
            </w:r>
          </w:p>
        </w:tc>
        <w:tc>
          <w:tcPr>
            <w:tcW w:w="1341" w:type="dxa"/>
          </w:tcPr>
          <w:p w:rsidR="00000000" w:rsidRDefault="00A63A03">
            <w:pPr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000000" w:rsidRDefault="00A63A03">
            <w:pPr>
              <w:pStyle w:val="CommentText"/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  <w:tc>
          <w:tcPr>
            <w:tcW w:w="2421" w:type="dxa"/>
            <w:shd w:val="clear" w:color="auto" w:fill="FFCC99"/>
          </w:tcPr>
          <w:p w:rsidR="00000000" w:rsidRDefault="00A63A03">
            <w:pPr>
              <w:jc w:val="center"/>
            </w:pPr>
            <w:r>
              <w:t>7</w:t>
            </w:r>
          </w:p>
        </w:tc>
        <w:tc>
          <w:tcPr>
            <w:tcW w:w="242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6" w:type="dxa"/>
          </w:tcPr>
          <w:p w:rsidR="00000000" w:rsidRDefault="00A63A03">
            <w:r>
              <w:t>2</w:t>
            </w:r>
          </w:p>
        </w:tc>
        <w:tc>
          <w:tcPr>
            <w:tcW w:w="1341" w:type="dxa"/>
          </w:tcPr>
          <w:p w:rsidR="00000000" w:rsidRDefault="00A63A03">
            <w:pPr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  <w:tc>
          <w:tcPr>
            <w:tcW w:w="2421" w:type="dxa"/>
            <w:shd w:val="clear" w:color="auto" w:fill="FFCC99"/>
          </w:tcPr>
          <w:p w:rsidR="00000000" w:rsidRPr="00A63A03" w:rsidRDefault="00A63A03" w:rsidP="00A63A03">
            <w:pPr>
              <w:rPr>
                <w:color w:val="FFFFFF"/>
              </w:rPr>
            </w:pPr>
            <w:r w:rsidRPr="00A63A03">
              <w:rPr>
                <w:color w:val="FFFFFF"/>
              </w:rPr>
              <w:t>7</w:t>
            </w:r>
          </w:p>
        </w:tc>
        <w:tc>
          <w:tcPr>
            <w:tcW w:w="242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6" w:type="dxa"/>
          </w:tcPr>
          <w:p w:rsidR="00000000" w:rsidRDefault="00A63A03">
            <w:r>
              <w:t>3</w:t>
            </w:r>
          </w:p>
        </w:tc>
        <w:tc>
          <w:tcPr>
            <w:tcW w:w="1341" w:type="dxa"/>
          </w:tcPr>
          <w:p w:rsidR="00000000" w:rsidRDefault="00A63A03">
            <w:pPr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  <w:tc>
          <w:tcPr>
            <w:tcW w:w="2421" w:type="dxa"/>
            <w:shd w:val="clear" w:color="auto" w:fill="FFCC99"/>
          </w:tcPr>
          <w:p w:rsidR="00000000" w:rsidRPr="00A63A03" w:rsidRDefault="00A63A03" w:rsidP="00A63A03">
            <w:pPr>
              <w:rPr>
                <w:color w:val="FFFFFF"/>
              </w:rPr>
            </w:pPr>
            <w:r w:rsidRPr="00A63A03">
              <w:rPr>
                <w:color w:val="FFFFFF"/>
              </w:rPr>
              <w:t>6.9</w:t>
            </w:r>
          </w:p>
        </w:tc>
        <w:tc>
          <w:tcPr>
            <w:tcW w:w="242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--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6" w:type="dxa"/>
          </w:tcPr>
          <w:p w:rsidR="00000000" w:rsidRDefault="00A63A03">
            <w:r>
              <w:t>4</w:t>
            </w:r>
          </w:p>
        </w:tc>
        <w:tc>
          <w:tcPr>
            <w:tcW w:w="1341" w:type="dxa"/>
          </w:tcPr>
          <w:p w:rsidR="00000000" w:rsidRDefault="00A63A03">
            <w:pPr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  <w:tc>
          <w:tcPr>
            <w:tcW w:w="2421" w:type="dxa"/>
            <w:shd w:val="clear" w:color="auto" w:fill="FFCC99"/>
          </w:tcPr>
          <w:p w:rsidR="00000000" w:rsidRPr="00A63A03" w:rsidRDefault="00A63A03">
            <w:pPr>
              <w:rPr>
                <w:color w:val="FFFFFF"/>
              </w:rPr>
            </w:pPr>
            <w:r w:rsidRPr="00A63A03">
              <w:rPr>
                <w:color w:val="FFFFFF"/>
              </w:rPr>
              <w:t>6.71</w:t>
            </w:r>
          </w:p>
        </w:tc>
        <w:tc>
          <w:tcPr>
            <w:tcW w:w="242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5.3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6" w:type="dxa"/>
          </w:tcPr>
          <w:p w:rsidR="00000000" w:rsidRDefault="00A63A03">
            <w:r>
              <w:t>5</w:t>
            </w:r>
          </w:p>
        </w:tc>
        <w:tc>
          <w:tcPr>
            <w:tcW w:w="1341" w:type="dxa"/>
          </w:tcPr>
          <w:p w:rsidR="00000000" w:rsidRDefault="00A63A03">
            <w:pPr>
              <w:jc w:val="center"/>
            </w:pPr>
            <w:r>
              <w:t>9</w:t>
            </w:r>
          </w:p>
        </w:tc>
        <w:tc>
          <w:tcPr>
            <w:tcW w:w="221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6</w:t>
            </w:r>
          </w:p>
        </w:tc>
        <w:tc>
          <w:tcPr>
            <w:tcW w:w="2421" w:type="dxa"/>
            <w:shd w:val="clear" w:color="auto" w:fill="FFCC99"/>
          </w:tcPr>
          <w:p w:rsidR="00000000" w:rsidRPr="00A63A03" w:rsidRDefault="00A63A03">
            <w:pPr>
              <w:rPr>
                <w:color w:val="FFFFFF"/>
              </w:rPr>
            </w:pPr>
            <w:r w:rsidRPr="00A63A03">
              <w:rPr>
                <w:color w:val="FFFFFF"/>
              </w:rPr>
              <w:t>6.739</w:t>
            </w:r>
          </w:p>
        </w:tc>
        <w:tc>
          <w:tcPr>
            <w:tcW w:w="242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6" w:type="dxa"/>
          </w:tcPr>
          <w:p w:rsidR="00000000" w:rsidRDefault="00A63A03">
            <w:r>
              <w:t>6</w:t>
            </w:r>
          </w:p>
        </w:tc>
        <w:tc>
          <w:tcPr>
            <w:tcW w:w="1341" w:type="dxa"/>
          </w:tcPr>
          <w:p w:rsidR="00000000" w:rsidRDefault="00A63A03">
            <w:pPr>
              <w:jc w:val="center"/>
            </w:pPr>
            <w:r>
              <w:t>unknown</w:t>
            </w:r>
          </w:p>
        </w:tc>
        <w:tc>
          <w:tcPr>
            <w:tcW w:w="221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7</w:t>
            </w:r>
          </w:p>
        </w:tc>
        <w:tc>
          <w:tcPr>
            <w:tcW w:w="2421" w:type="dxa"/>
            <w:shd w:val="clear" w:color="auto" w:fill="FFCC99"/>
          </w:tcPr>
          <w:p w:rsidR="00000000" w:rsidRPr="00A63A03" w:rsidRDefault="00A63A03">
            <w:pPr>
              <w:rPr>
                <w:color w:val="FFFFFF"/>
              </w:rPr>
            </w:pPr>
            <w:r w:rsidRPr="00A63A03">
              <w:rPr>
                <w:color w:val="FFFFFF"/>
              </w:rPr>
              <w:t>6.965</w:t>
            </w:r>
          </w:p>
        </w:tc>
        <w:tc>
          <w:tcPr>
            <w:tcW w:w="2421" w:type="dxa"/>
          </w:tcPr>
          <w:p w:rsidR="00000000" w:rsidRDefault="00A63A03">
            <w:pPr>
              <w:rPr>
                <w:color w:val="FFFFFF"/>
              </w:rPr>
            </w:pPr>
            <w:r>
              <w:rPr>
                <w:color w:val="FFFFFF"/>
              </w:rPr>
              <w:t>8.4</w:t>
            </w:r>
          </w:p>
        </w:tc>
      </w:tr>
    </w:tbl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Find the simple moving average forecast for period 5.  It is</w:t>
      </w:r>
    </w:p>
    <w:p w:rsidR="00000000" w:rsidRDefault="00A63A03">
      <w:pPr>
        <w:ind w:firstLine="720"/>
      </w:pPr>
      <w:r>
        <w:t xml:space="preserve"> </w:t>
      </w:r>
      <w:commentRangeStart w:id="14"/>
      <w:r>
        <w:t>a)  6</w:t>
      </w:r>
      <w:r>
        <w:tab/>
      </w:r>
      <w:r>
        <w:tab/>
        <w:t>b</w:t>
      </w:r>
      <w:proofErr w:type="gramStart"/>
      <w:r>
        <w:t>)  6.25</w:t>
      </w:r>
      <w:proofErr w:type="gramEnd"/>
      <w:r>
        <w:tab/>
      </w:r>
      <w:r>
        <w:tab/>
        <w:t>c)   6.75</w:t>
      </w:r>
      <w:r>
        <w:tab/>
      </w:r>
      <w:r>
        <w:tab/>
        <w:t>d)  7</w:t>
      </w:r>
      <w:r>
        <w:tab/>
      </w:r>
      <w:r>
        <w:tab/>
        <w:t>e)  18</w:t>
      </w:r>
      <w:commentRangeEnd w:id="14"/>
      <w:r>
        <w:rPr>
          <w:rStyle w:val="CommentReference"/>
          <w:vanish/>
        </w:rPr>
        <w:commentReference w:id="14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 xml:space="preserve">Find the exponential </w:t>
      </w:r>
      <w:r>
        <w:t>smoothing forecast for period 3.  It is</w:t>
      </w:r>
    </w:p>
    <w:p w:rsidR="00000000" w:rsidRDefault="00A63A03">
      <w:pPr>
        <w:ind w:left="720"/>
      </w:pPr>
      <w:commentRangeStart w:id="15"/>
      <w:r>
        <w:t>a)  6.1</w:t>
      </w:r>
      <w:r>
        <w:tab/>
      </w:r>
      <w:r>
        <w:tab/>
        <w:t>b</w:t>
      </w:r>
      <w:proofErr w:type="gramStart"/>
      <w:r>
        <w:t>)  6.71</w:t>
      </w:r>
      <w:proofErr w:type="gramEnd"/>
      <w:r>
        <w:tab/>
      </w:r>
      <w:r>
        <w:tab/>
        <w:t>c)  6.9</w:t>
      </w:r>
      <w:r>
        <w:tab/>
      </w:r>
      <w:r>
        <w:tab/>
        <w:t>c)  7</w:t>
      </w:r>
      <w:r>
        <w:tab/>
      </w:r>
      <w:r>
        <w:tab/>
        <w:t>e) 7.1</w:t>
      </w:r>
      <w:commentRangeEnd w:id="15"/>
      <w:r>
        <w:rPr>
          <w:rStyle w:val="CommentReference"/>
          <w:vanish/>
        </w:rPr>
        <w:commentReference w:id="15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Find the weighted moving average forecast for time period 6.  It is</w:t>
      </w:r>
    </w:p>
    <w:p w:rsidR="00000000" w:rsidRDefault="00A63A03">
      <w:pPr>
        <w:ind w:left="720"/>
      </w:pPr>
      <w:commentRangeStart w:id="16"/>
      <w:r>
        <w:t>a)  7</w:t>
      </w:r>
      <w:r>
        <w:tab/>
      </w:r>
      <w:r>
        <w:tab/>
        <w:t>b</w:t>
      </w:r>
      <w:proofErr w:type="gramStart"/>
      <w:r>
        <w:t>)  7.2</w:t>
      </w:r>
      <w:proofErr w:type="gramEnd"/>
      <w:r>
        <w:tab/>
      </w:r>
      <w:r>
        <w:tab/>
        <w:t>c) 7.8</w:t>
      </w:r>
      <w:r>
        <w:tab/>
      </w:r>
      <w:r>
        <w:tab/>
        <w:t>d)  8</w:t>
      </w:r>
      <w:r>
        <w:tab/>
      </w:r>
      <w:r>
        <w:tab/>
        <w:t>e) 8.4</w:t>
      </w:r>
      <w:commentRangeEnd w:id="16"/>
      <w:r>
        <w:rPr>
          <w:rStyle w:val="CommentReference"/>
          <w:vanish/>
        </w:rPr>
        <w:commentReference w:id="16"/>
      </w:r>
    </w:p>
    <w:p w:rsidR="00000000" w:rsidRDefault="00A63A03"/>
    <w:p w:rsidR="00000000" w:rsidRDefault="00A63A03"/>
    <w:p w:rsidR="00000000" w:rsidRDefault="00A63A03">
      <w:r>
        <w:t>Questions 13-14 refer to the table given below.</w:t>
      </w:r>
    </w:p>
    <w:p w:rsidR="00000000" w:rsidRDefault="00A63A03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170"/>
        <w:gridCol w:w="1440"/>
        <w:gridCol w:w="3114"/>
        <w:gridCol w:w="31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000000" w:rsidRDefault="00A63A03">
            <w:r>
              <w:t>Period #</w:t>
            </w:r>
          </w:p>
        </w:tc>
        <w:tc>
          <w:tcPr>
            <w:tcW w:w="1440" w:type="dxa"/>
          </w:tcPr>
          <w:p w:rsidR="00000000" w:rsidRDefault="00A63A03">
            <w:r>
              <w:t>Actua</w:t>
            </w:r>
            <w:r>
              <w:t>l value</w:t>
            </w:r>
          </w:p>
        </w:tc>
        <w:tc>
          <w:tcPr>
            <w:tcW w:w="3114" w:type="dxa"/>
          </w:tcPr>
          <w:p w:rsidR="00000000" w:rsidRDefault="00A63A03">
            <w:r>
              <w:t>Forecast Value</w:t>
            </w:r>
          </w:p>
        </w:tc>
        <w:tc>
          <w:tcPr>
            <w:tcW w:w="3114" w:type="dxa"/>
          </w:tcPr>
          <w:p w:rsidR="00000000" w:rsidRDefault="00A63A0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000000" w:rsidRDefault="00A63A03">
            <w:r>
              <w:t>1</w:t>
            </w:r>
          </w:p>
        </w:tc>
        <w:tc>
          <w:tcPr>
            <w:tcW w:w="1440" w:type="dxa"/>
          </w:tcPr>
          <w:p w:rsidR="00000000" w:rsidRDefault="00A63A03">
            <w:r>
              <w:t>20</w:t>
            </w:r>
          </w:p>
        </w:tc>
        <w:tc>
          <w:tcPr>
            <w:tcW w:w="3114" w:type="dxa"/>
          </w:tcPr>
          <w:p w:rsidR="00000000" w:rsidRDefault="00A63A03">
            <w:r>
              <w:t>18</w:t>
            </w:r>
          </w:p>
        </w:tc>
        <w:tc>
          <w:tcPr>
            <w:tcW w:w="3114" w:type="dxa"/>
          </w:tcPr>
          <w:p w:rsidR="00000000" w:rsidRDefault="00A63A0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000000" w:rsidRDefault="00A63A03">
            <w:r>
              <w:t>2</w:t>
            </w:r>
          </w:p>
        </w:tc>
        <w:tc>
          <w:tcPr>
            <w:tcW w:w="1440" w:type="dxa"/>
          </w:tcPr>
          <w:p w:rsidR="00000000" w:rsidRDefault="00A63A03">
            <w:r>
              <w:t>18</w:t>
            </w:r>
          </w:p>
        </w:tc>
        <w:tc>
          <w:tcPr>
            <w:tcW w:w="3114" w:type="dxa"/>
          </w:tcPr>
          <w:p w:rsidR="00000000" w:rsidRDefault="00A63A03">
            <w:r>
              <w:t>14</w:t>
            </w:r>
          </w:p>
        </w:tc>
        <w:tc>
          <w:tcPr>
            <w:tcW w:w="3114" w:type="dxa"/>
          </w:tcPr>
          <w:p w:rsidR="00000000" w:rsidRDefault="00A63A0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000000" w:rsidRDefault="00A63A03">
            <w:r>
              <w:t>3</w:t>
            </w:r>
          </w:p>
        </w:tc>
        <w:tc>
          <w:tcPr>
            <w:tcW w:w="1440" w:type="dxa"/>
          </w:tcPr>
          <w:p w:rsidR="00000000" w:rsidRDefault="00A63A03">
            <w:r>
              <w:t>24</w:t>
            </w:r>
          </w:p>
        </w:tc>
        <w:tc>
          <w:tcPr>
            <w:tcW w:w="3114" w:type="dxa"/>
          </w:tcPr>
          <w:p w:rsidR="00000000" w:rsidRDefault="00A63A03">
            <w:r>
              <w:t>22</w:t>
            </w:r>
          </w:p>
        </w:tc>
        <w:tc>
          <w:tcPr>
            <w:tcW w:w="3114" w:type="dxa"/>
          </w:tcPr>
          <w:p w:rsidR="00000000" w:rsidRDefault="00A63A03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000000" w:rsidRDefault="00A63A03">
            <w:r>
              <w:t>4</w:t>
            </w:r>
          </w:p>
        </w:tc>
        <w:tc>
          <w:tcPr>
            <w:tcW w:w="1440" w:type="dxa"/>
          </w:tcPr>
          <w:p w:rsidR="00000000" w:rsidRDefault="00A63A03">
            <w:r>
              <w:t>14</w:t>
            </w:r>
          </w:p>
        </w:tc>
        <w:tc>
          <w:tcPr>
            <w:tcW w:w="3114" w:type="dxa"/>
          </w:tcPr>
          <w:p w:rsidR="00000000" w:rsidRDefault="00A63A03">
            <w:r>
              <w:t>10</w:t>
            </w:r>
          </w:p>
        </w:tc>
        <w:tc>
          <w:tcPr>
            <w:tcW w:w="3114" w:type="dxa"/>
          </w:tcPr>
          <w:p w:rsidR="00000000" w:rsidRDefault="00A63A03"/>
        </w:tc>
      </w:tr>
    </w:tbl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 xml:space="preserve"> The MSE for the forecast appearing above is</w:t>
      </w:r>
    </w:p>
    <w:p w:rsidR="00000000" w:rsidRDefault="00A63A03"/>
    <w:p w:rsidR="00000000" w:rsidRDefault="00A63A03" w:rsidP="00A63A03">
      <w:pPr>
        <w:numPr>
          <w:ilvl w:val="0"/>
          <w:numId w:val="1"/>
        </w:numPr>
      </w:pPr>
      <w:commentRangeStart w:id="17"/>
      <w:r>
        <w:t>6</w:t>
      </w:r>
      <w:r>
        <w:tab/>
      </w:r>
      <w:r>
        <w:tab/>
        <w:t>b)  10</w:t>
      </w:r>
      <w:r>
        <w:tab/>
      </w:r>
      <w:r>
        <w:tab/>
        <w:t>c) 16</w:t>
      </w:r>
      <w:r>
        <w:tab/>
      </w:r>
      <w:r>
        <w:tab/>
        <w:t>d)  24</w:t>
      </w:r>
      <w:r>
        <w:tab/>
      </w:r>
      <w:r>
        <w:tab/>
        <w:t>e) 40</w:t>
      </w:r>
      <w:commentRangeEnd w:id="17"/>
      <w:r>
        <w:rPr>
          <w:rStyle w:val="CommentReference"/>
          <w:vanish/>
        </w:rPr>
        <w:commentReference w:id="17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 xml:space="preserve"> The MAD for the forecast appearing above is</w:t>
      </w:r>
    </w:p>
    <w:p w:rsidR="00000000" w:rsidRDefault="00A63A03"/>
    <w:p w:rsidR="00000000" w:rsidRDefault="00A63A03">
      <w:commentRangeStart w:id="18"/>
      <w:r>
        <w:t>a)   3</w:t>
      </w:r>
      <w:r>
        <w:tab/>
      </w:r>
      <w:r>
        <w:tab/>
        <w:t>b</w:t>
      </w:r>
      <w:proofErr w:type="gramStart"/>
      <w:r>
        <w:t>)  5</w:t>
      </w:r>
      <w:proofErr w:type="gramEnd"/>
      <w:r>
        <w:tab/>
      </w:r>
      <w:r>
        <w:tab/>
        <w:t>c) 8</w:t>
      </w:r>
      <w:r>
        <w:tab/>
      </w:r>
      <w:r>
        <w:tab/>
        <w:t>d)  12</w:t>
      </w:r>
      <w:r>
        <w:tab/>
      </w:r>
      <w:r>
        <w:tab/>
        <w:t>e) 20</w:t>
      </w:r>
      <w:commentRangeEnd w:id="18"/>
      <w:r>
        <w:rPr>
          <w:rStyle w:val="CommentReference"/>
          <w:vanish/>
        </w:rPr>
        <w:commentReference w:id="18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br w:type="page"/>
      </w:r>
      <w:r>
        <w:lastRenderedPageBreak/>
        <w:t xml:space="preserve">Which if the following </w:t>
      </w:r>
      <w:proofErr w:type="gramStart"/>
      <w:r>
        <w:t>stat</w:t>
      </w:r>
      <w:r>
        <w:t>ements is</w:t>
      </w:r>
      <w:proofErr w:type="gramEnd"/>
      <w:r>
        <w:t xml:space="preserve"> </w:t>
      </w:r>
      <w:r>
        <w:rPr>
          <w:i/>
        </w:rPr>
        <w:t>not</w:t>
      </w:r>
      <w:r>
        <w:t xml:space="preserve"> true?</w:t>
      </w:r>
    </w:p>
    <w:p w:rsidR="00000000" w:rsidRDefault="00A63A03" w:rsidP="00A63A03">
      <w:pPr>
        <w:numPr>
          <w:ilvl w:val="0"/>
          <w:numId w:val="8"/>
        </w:numPr>
      </w:pPr>
      <w:commentRangeStart w:id="19"/>
      <w:r>
        <w:t>MSE is measured in the same units as the values being forecast.</w:t>
      </w:r>
    </w:p>
    <w:p w:rsidR="00000000" w:rsidRDefault="00A63A03" w:rsidP="00A63A03">
      <w:pPr>
        <w:numPr>
          <w:ilvl w:val="0"/>
          <w:numId w:val="8"/>
        </w:numPr>
      </w:pPr>
      <w:r>
        <w:t>Neither MSE nor MAD can ever be negative.</w:t>
      </w:r>
    </w:p>
    <w:p w:rsidR="00000000" w:rsidRDefault="00A63A03" w:rsidP="00A63A03">
      <w:pPr>
        <w:numPr>
          <w:ilvl w:val="0"/>
          <w:numId w:val="8"/>
        </w:numPr>
      </w:pPr>
      <w:r>
        <w:t>MSE penalizes more heavily for large forecast errors than does MAD.</w:t>
      </w:r>
    </w:p>
    <w:p w:rsidR="00000000" w:rsidRDefault="00A63A03" w:rsidP="00A63A03">
      <w:pPr>
        <w:numPr>
          <w:ilvl w:val="0"/>
          <w:numId w:val="8"/>
        </w:numPr>
      </w:pPr>
      <w:r>
        <w:t>MAD stands for “mean absolute deviation”.</w:t>
      </w:r>
    </w:p>
    <w:p w:rsidR="00000000" w:rsidRDefault="00A63A03" w:rsidP="00A63A03">
      <w:pPr>
        <w:numPr>
          <w:ilvl w:val="0"/>
          <w:numId w:val="8"/>
        </w:numPr>
      </w:pPr>
      <w:r>
        <w:t>If MSE = 0, then MAD</w:t>
      </w:r>
      <w:r>
        <w:t xml:space="preserve"> = 0.</w:t>
      </w:r>
      <w:commentRangeEnd w:id="19"/>
      <w:r>
        <w:rPr>
          <w:rStyle w:val="CommentReference"/>
          <w:vanish/>
        </w:rPr>
        <w:commentReference w:id="19"/>
      </w:r>
    </w:p>
    <w:p w:rsidR="00000000" w:rsidRDefault="00A63A03"/>
    <w:p w:rsidR="00000000" w:rsidRDefault="00A63A03">
      <w:r>
        <w:br w:type="page"/>
      </w:r>
    </w:p>
    <w:p w:rsidR="00000000" w:rsidRDefault="00A63A03">
      <w:pPr>
        <w:rPr>
          <w:color w:val="FF0000"/>
        </w:rPr>
      </w:pPr>
    </w:p>
    <w:p w:rsidR="00000000" w:rsidRDefault="00A63A03">
      <w:r>
        <w:t>Questions 20-22 deal with the following situatio</w:t>
      </w:r>
      <w:r>
        <w:t>n:  We model domestic fires in a city as a queuing system.  A house joins the system when a fire in that house is reported to the fire department.  Service consists of a fire truck travelling to the house and putting out the fire. The fire company will res</w:t>
      </w:r>
      <w:r>
        <w:t xml:space="preserve">pond to a reported fire immediately, unless all fire trucks are already out on calls.  Assume only one truck is dispatched to any given fire.  </w:t>
      </w:r>
      <w:proofErr w:type="gramStart"/>
      <w:r>
        <w:t>Measure time in hours for this problem.</w:t>
      </w:r>
      <w:proofErr w:type="gramEnd"/>
    </w:p>
    <w:p w:rsidR="00000000" w:rsidRDefault="00A63A03">
      <w:r>
        <w:t xml:space="preserve">  </w:t>
      </w:r>
    </w:p>
    <w:p w:rsidR="00000000" w:rsidRDefault="00A63A03" w:rsidP="00A63A03">
      <w:pPr>
        <w:numPr>
          <w:ilvl w:val="0"/>
          <w:numId w:val="6"/>
        </w:numPr>
      </w:pPr>
      <w:r>
        <w:rPr>
          <w:rFonts w:ascii="Symbol" w:hAnsi="Symbol"/>
        </w:rPr>
        <w:t></w:t>
      </w:r>
      <w:r>
        <w:t xml:space="preserve">  represents</w:t>
      </w:r>
    </w:p>
    <w:p w:rsidR="00000000" w:rsidRDefault="00A63A03" w:rsidP="00A63A03">
      <w:pPr>
        <w:numPr>
          <w:ilvl w:val="0"/>
          <w:numId w:val="9"/>
        </w:numPr>
      </w:pPr>
      <w:commentRangeStart w:id="20"/>
      <w:proofErr w:type="gramStart"/>
      <w:r>
        <w:t>the</w:t>
      </w:r>
      <w:proofErr w:type="gramEnd"/>
      <w:r>
        <w:t xml:space="preserve"> average number of fires reported per hour.</w:t>
      </w:r>
      <w:commentRangeEnd w:id="20"/>
      <w:r>
        <w:rPr>
          <w:rStyle w:val="CommentReference"/>
          <w:vanish/>
        </w:rPr>
        <w:commentReference w:id="20"/>
      </w:r>
    </w:p>
    <w:p w:rsidR="00000000" w:rsidRDefault="00A63A03" w:rsidP="00A63A03">
      <w:pPr>
        <w:numPr>
          <w:ilvl w:val="0"/>
          <w:numId w:val="9"/>
        </w:numPr>
      </w:pPr>
      <w:commentRangeStart w:id="21"/>
      <w:proofErr w:type="gramStart"/>
      <w:r>
        <w:t>the</w:t>
      </w:r>
      <w:proofErr w:type="gramEnd"/>
      <w:r>
        <w:t xml:space="preserve"> aver</w:t>
      </w:r>
      <w:r>
        <w:t>age number of hours required to put out a fire.</w:t>
      </w:r>
      <w:commentRangeEnd w:id="21"/>
      <w:r>
        <w:rPr>
          <w:rStyle w:val="CommentReference"/>
          <w:vanish/>
        </w:rPr>
        <w:commentReference w:id="21"/>
      </w:r>
    </w:p>
    <w:p w:rsidR="00000000" w:rsidRDefault="00A63A03" w:rsidP="00A63A03">
      <w:pPr>
        <w:numPr>
          <w:ilvl w:val="0"/>
          <w:numId w:val="9"/>
        </w:numPr>
      </w:pPr>
      <w:commentRangeStart w:id="22"/>
      <w:proofErr w:type="gramStart"/>
      <w:r>
        <w:t>the</w:t>
      </w:r>
      <w:proofErr w:type="gramEnd"/>
      <w:r>
        <w:t xml:space="preserve"> average number of hours between two successive fire reports.</w:t>
      </w:r>
      <w:commentRangeEnd w:id="22"/>
      <w:r>
        <w:rPr>
          <w:rStyle w:val="CommentReference"/>
          <w:vanish/>
        </w:rPr>
        <w:commentReference w:id="22"/>
      </w:r>
    </w:p>
    <w:p w:rsidR="00000000" w:rsidRDefault="00A63A03" w:rsidP="00A63A03">
      <w:pPr>
        <w:numPr>
          <w:ilvl w:val="0"/>
          <w:numId w:val="9"/>
        </w:numPr>
      </w:pPr>
      <w:commentRangeStart w:id="23"/>
      <w:proofErr w:type="gramStart"/>
      <w:r>
        <w:t>the</w:t>
      </w:r>
      <w:proofErr w:type="gramEnd"/>
      <w:r>
        <w:t xml:space="preserve"> fraction of the time that no fire trucks are responding to fires.</w:t>
      </w:r>
      <w:commentRangeEnd w:id="23"/>
      <w:r>
        <w:rPr>
          <w:rStyle w:val="CommentReference"/>
          <w:vanish/>
        </w:rPr>
        <w:commentReference w:id="23"/>
      </w:r>
    </w:p>
    <w:p w:rsidR="00000000" w:rsidRDefault="00A63A03" w:rsidP="00A63A03">
      <w:pPr>
        <w:numPr>
          <w:ilvl w:val="0"/>
          <w:numId w:val="9"/>
        </w:numPr>
      </w:pPr>
      <w:commentRangeStart w:id="24"/>
      <w:proofErr w:type="gramStart"/>
      <w:r>
        <w:t>the</w:t>
      </w:r>
      <w:proofErr w:type="gramEnd"/>
      <w:r>
        <w:t xml:space="preserve"> fraction of the time a fire truck is busy responding to a call</w:t>
      </w:r>
      <w:commentRangeEnd w:id="24"/>
      <w:r>
        <w:rPr>
          <w:rStyle w:val="CommentReference"/>
          <w:vanish/>
        </w:rPr>
        <w:commentReference w:id="24"/>
      </w:r>
      <w:r>
        <w:t>.</w:t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L represents</w:t>
      </w:r>
    </w:p>
    <w:p w:rsidR="00000000" w:rsidRDefault="00A63A03" w:rsidP="00A63A03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commentRangeStart w:id="25"/>
      <w:proofErr w:type="gramStart"/>
      <w:r>
        <w:t>the</w:t>
      </w:r>
      <w:proofErr w:type="gramEnd"/>
      <w:r>
        <w:t xml:space="preserve"> average number of hours required to put out a fire.</w:t>
      </w:r>
      <w:commentRangeEnd w:id="25"/>
      <w:r>
        <w:rPr>
          <w:rStyle w:val="CommentReference"/>
          <w:vanish/>
        </w:rPr>
        <w:commentReference w:id="25"/>
      </w:r>
    </w:p>
    <w:p w:rsidR="00000000" w:rsidRDefault="00A63A03" w:rsidP="00A63A03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commentRangeStart w:id="26"/>
      <w:proofErr w:type="gramStart"/>
      <w:r>
        <w:t>the</w:t>
      </w:r>
      <w:proofErr w:type="gramEnd"/>
      <w:r>
        <w:t xml:space="preserve"> average number of fires that the fire company could put out per hour.</w:t>
      </w:r>
      <w:commentRangeEnd w:id="26"/>
      <w:r>
        <w:rPr>
          <w:rStyle w:val="CommentReference"/>
          <w:vanish/>
        </w:rPr>
        <w:commentReference w:id="26"/>
      </w:r>
    </w:p>
    <w:p w:rsidR="00000000" w:rsidRDefault="00A63A03" w:rsidP="00A63A03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commentRangeStart w:id="27"/>
      <w:proofErr w:type="gramStart"/>
      <w:r>
        <w:t>the</w:t>
      </w:r>
      <w:proofErr w:type="gramEnd"/>
      <w:r>
        <w:t xml:space="preserve"> average number of fire trucks out on call at any given time.</w:t>
      </w:r>
      <w:commentRangeEnd w:id="27"/>
      <w:r>
        <w:rPr>
          <w:rStyle w:val="CommentReference"/>
          <w:vanish/>
        </w:rPr>
        <w:commentReference w:id="27"/>
      </w:r>
    </w:p>
    <w:p w:rsidR="00000000" w:rsidRDefault="00A63A03" w:rsidP="00A63A03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commentRangeStart w:id="28"/>
      <w:proofErr w:type="gramStart"/>
      <w:r>
        <w:t>the</w:t>
      </w:r>
      <w:proofErr w:type="gramEnd"/>
      <w:r>
        <w:t xml:space="preserve"> average number of reported fires which ha</w:t>
      </w:r>
      <w:r>
        <w:t>ve not yet been extinguished at any given time.</w:t>
      </w:r>
      <w:commentRangeEnd w:id="28"/>
      <w:r>
        <w:rPr>
          <w:rStyle w:val="CommentReference"/>
          <w:vanish/>
        </w:rPr>
        <w:commentReference w:id="28"/>
      </w:r>
    </w:p>
    <w:p w:rsidR="00000000" w:rsidRDefault="00A63A03" w:rsidP="00A63A03">
      <w:pPr>
        <w:numPr>
          <w:ilvl w:val="0"/>
          <w:numId w:val="10"/>
        </w:numPr>
        <w:tabs>
          <w:tab w:val="clear" w:pos="360"/>
          <w:tab w:val="num" w:pos="1080"/>
        </w:tabs>
        <w:ind w:left="1080"/>
      </w:pPr>
      <w:commentRangeStart w:id="29"/>
      <w:proofErr w:type="gramStart"/>
      <w:r>
        <w:t>the</w:t>
      </w:r>
      <w:proofErr w:type="gramEnd"/>
      <w:r>
        <w:t xml:space="preserve"> average number of hours passing from the time a fire is reported until the time the fire is extinguished.</w:t>
      </w:r>
      <w:commentRangeEnd w:id="29"/>
      <w:r>
        <w:rPr>
          <w:rStyle w:val="CommentReference"/>
          <w:vanish/>
        </w:rPr>
        <w:commentReference w:id="29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s</w:t>
      </w:r>
      <w:r>
        <w:t xml:space="preserve"> represents</w:t>
      </w:r>
    </w:p>
    <w:p w:rsidR="00000000" w:rsidRDefault="00A63A03" w:rsidP="00A63A03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commentRangeStart w:id="30"/>
      <w:proofErr w:type="gramStart"/>
      <w:r>
        <w:t>the</w:t>
      </w:r>
      <w:proofErr w:type="gramEnd"/>
      <w:r>
        <w:t xml:space="preserve"> number of firefighters in the department.</w:t>
      </w:r>
      <w:commentRangeEnd w:id="30"/>
      <w:r>
        <w:rPr>
          <w:rStyle w:val="CommentReference"/>
          <w:vanish/>
        </w:rPr>
        <w:commentReference w:id="30"/>
      </w:r>
    </w:p>
    <w:p w:rsidR="00000000" w:rsidRDefault="00A63A03" w:rsidP="00A63A03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commentRangeStart w:id="31"/>
      <w:proofErr w:type="gramStart"/>
      <w:r>
        <w:t>the</w:t>
      </w:r>
      <w:proofErr w:type="gramEnd"/>
      <w:r>
        <w:t xml:space="preserve"> number of houses on fire.</w:t>
      </w:r>
      <w:commentRangeEnd w:id="31"/>
      <w:r>
        <w:rPr>
          <w:rStyle w:val="CommentReference"/>
          <w:vanish/>
        </w:rPr>
        <w:commentReference w:id="31"/>
      </w:r>
    </w:p>
    <w:p w:rsidR="00000000" w:rsidRDefault="00A63A03" w:rsidP="00A63A03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commentRangeStart w:id="32"/>
      <w:proofErr w:type="gramStart"/>
      <w:r>
        <w:t>the</w:t>
      </w:r>
      <w:proofErr w:type="gramEnd"/>
      <w:r>
        <w:t xml:space="preserve"> </w:t>
      </w:r>
      <w:r>
        <w:t>number of fire trucks in the department.</w:t>
      </w:r>
      <w:commentRangeEnd w:id="32"/>
      <w:r>
        <w:rPr>
          <w:rStyle w:val="CommentReference"/>
          <w:vanish/>
        </w:rPr>
        <w:commentReference w:id="32"/>
      </w:r>
    </w:p>
    <w:p w:rsidR="00000000" w:rsidRDefault="00A63A03" w:rsidP="00A63A03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commentRangeStart w:id="33"/>
      <w:proofErr w:type="gramStart"/>
      <w:r>
        <w:t>the</w:t>
      </w:r>
      <w:proofErr w:type="gramEnd"/>
      <w:r>
        <w:t xml:space="preserve"> average number of fires put out in a given hour.</w:t>
      </w:r>
      <w:commentRangeEnd w:id="33"/>
      <w:r>
        <w:rPr>
          <w:rStyle w:val="CommentReference"/>
          <w:vanish/>
        </w:rPr>
        <w:commentReference w:id="33"/>
      </w:r>
    </w:p>
    <w:p w:rsidR="00000000" w:rsidRDefault="00A63A03" w:rsidP="00A63A03">
      <w:pPr>
        <w:numPr>
          <w:ilvl w:val="0"/>
          <w:numId w:val="11"/>
        </w:numPr>
        <w:tabs>
          <w:tab w:val="clear" w:pos="360"/>
          <w:tab w:val="num" w:pos="1080"/>
        </w:tabs>
        <w:ind w:left="1080"/>
      </w:pPr>
      <w:commentRangeStart w:id="34"/>
      <w:proofErr w:type="gramStart"/>
      <w:r>
        <w:t>the</w:t>
      </w:r>
      <w:proofErr w:type="gramEnd"/>
      <w:r>
        <w:t xml:space="preserve"> average number of hours between when a fire is reported and when the fire truck is dispatched.</w:t>
      </w:r>
      <w:commentRangeEnd w:id="34"/>
      <w:r>
        <w:rPr>
          <w:rStyle w:val="CommentReference"/>
          <w:vanish/>
        </w:rPr>
        <w:commentReference w:id="34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The two management science techniques most widely used by b</w:t>
      </w:r>
      <w:r>
        <w:t>usiness are</w:t>
      </w:r>
    </w:p>
    <w:p w:rsidR="00000000" w:rsidRDefault="00A63A03" w:rsidP="00A63A03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commentRangeStart w:id="35"/>
      <w:proofErr w:type="gramStart"/>
      <w:r>
        <w:t>linear</w:t>
      </w:r>
      <w:proofErr w:type="gramEnd"/>
      <w:r>
        <w:t xml:space="preserve"> programming and simulation.</w:t>
      </w:r>
    </w:p>
    <w:p w:rsidR="00000000" w:rsidRDefault="00A63A03" w:rsidP="00A63A03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proofErr w:type="gramStart"/>
      <w:r>
        <w:t>decision</w:t>
      </w:r>
      <w:proofErr w:type="gramEnd"/>
      <w:r>
        <w:t xml:space="preserve"> trees and forecasting.</w:t>
      </w:r>
    </w:p>
    <w:p w:rsidR="00000000" w:rsidRDefault="00A63A03" w:rsidP="00A63A03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proofErr w:type="gramStart"/>
      <w:r>
        <w:t>queuing</w:t>
      </w:r>
      <w:proofErr w:type="gramEnd"/>
      <w:r>
        <w:t xml:space="preserve"> theory and assignment algorithms.</w:t>
      </w:r>
    </w:p>
    <w:p w:rsidR="00000000" w:rsidRDefault="00A63A03" w:rsidP="00A63A03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r>
        <w:t>EVPI and OFCR.</w:t>
      </w:r>
    </w:p>
    <w:p w:rsidR="00000000" w:rsidRDefault="00A63A03" w:rsidP="00A63A03">
      <w:pPr>
        <w:numPr>
          <w:ilvl w:val="0"/>
          <w:numId w:val="12"/>
        </w:numPr>
        <w:tabs>
          <w:tab w:val="clear" w:pos="360"/>
          <w:tab w:val="num" w:pos="1080"/>
        </w:tabs>
        <w:ind w:left="1080"/>
      </w:pPr>
      <w:proofErr w:type="gramStart"/>
      <w:r>
        <w:t>decision</w:t>
      </w:r>
      <w:proofErr w:type="gramEnd"/>
      <w:r>
        <w:t xml:space="preserve"> trees and queuing theory.</w:t>
      </w:r>
      <w:commentRangeEnd w:id="35"/>
      <w:r>
        <w:rPr>
          <w:rStyle w:val="CommentReference"/>
          <w:vanish/>
        </w:rPr>
        <w:commentReference w:id="35"/>
      </w:r>
    </w:p>
    <w:p w:rsidR="00000000" w:rsidRDefault="00A63A03"/>
    <w:p w:rsidR="00000000" w:rsidRDefault="00A63A03" w:rsidP="00A63A03">
      <w:pPr>
        <w:numPr>
          <w:ilvl w:val="0"/>
          <w:numId w:val="6"/>
        </w:numPr>
      </w:pPr>
      <w:r>
        <w:t>Extend the table of events below to make it into a process generator.  Apply this process generator below to the random number 0.2061.  This number represents</w:t>
      </w:r>
    </w:p>
    <w:p w:rsidR="00000000" w:rsidRDefault="00A63A03">
      <w:pPr>
        <w:ind w:left="720"/>
      </w:pPr>
      <w:commentRangeStart w:id="36"/>
      <w:r>
        <w:t xml:space="preserve">a) </w:t>
      </w:r>
      <w:proofErr w:type="gramStart"/>
      <w:r>
        <w:t>wrong</w:t>
      </w:r>
      <w:proofErr w:type="gramEnd"/>
      <w:r>
        <w:t xml:space="preserve"> number</w:t>
      </w:r>
      <w:r>
        <w:tab/>
      </w:r>
      <w:r>
        <w:tab/>
        <w:t xml:space="preserve">b)  busy </w:t>
      </w:r>
      <w:r>
        <w:tab/>
      </w:r>
      <w:r>
        <w:tab/>
        <w:t>c) no answer</w:t>
      </w:r>
      <w:r>
        <w:tab/>
        <w:t>d)  hang up</w:t>
      </w:r>
      <w:r>
        <w:tab/>
        <w:t>e)  talk</w:t>
      </w:r>
      <w:commentRangeEnd w:id="36"/>
      <w:r>
        <w:rPr>
          <w:rStyle w:val="CommentReference"/>
          <w:vanish/>
        </w:rPr>
        <w:commentReference w:id="36"/>
      </w:r>
    </w:p>
    <w:p w:rsidR="00000000" w:rsidRDefault="00A63A03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00000" w:rsidRDefault="00A63A03">
            <w:r>
              <w:t>Result of attempted telep</w:t>
            </w:r>
            <w:r>
              <w:t>hone solicitation</w:t>
            </w:r>
          </w:p>
        </w:tc>
        <w:tc>
          <w:tcPr>
            <w:tcW w:w="1200" w:type="dxa"/>
          </w:tcPr>
          <w:p w:rsidR="00000000" w:rsidRDefault="00A63A03">
            <w:r>
              <w:t>Probability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00000" w:rsidRDefault="00A63A03">
            <w:r>
              <w:t>Wrong number</w:t>
            </w:r>
          </w:p>
        </w:tc>
        <w:tc>
          <w:tcPr>
            <w:tcW w:w="1200" w:type="dxa"/>
          </w:tcPr>
          <w:p w:rsidR="00000000" w:rsidRDefault="00A63A03">
            <w:r>
              <w:t>.04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00000" w:rsidRDefault="00A63A03">
            <w:r>
              <w:t>Busy</w:t>
            </w:r>
          </w:p>
        </w:tc>
        <w:tc>
          <w:tcPr>
            <w:tcW w:w="1200" w:type="dxa"/>
          </w:tcPr>
          <w:p w:rsidR="00000000" w:rsidRDefault="00A63A03">
            <w:r>
              <w:t>.06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00000" w:rsidRDefault="00A63A03">
            <w:r>
              <w:t>no answer</w:t>
            </w:r>
          </w:p>
        </w:tc>
        <w:tc>
          <w:tcPr>
            <w:tcW w:w="1200" w:type="dxa"/>
          </w:tcPr>
          <w:p w:rsidR="00000000" w:rsidRDefault="00A63A03">
            <w:r>
              <w:t>.12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00000" w:rsidRDefault="00A63A03">
            <w:r>
              <w:t>hang up</w:t>
            </w:r>
          </w:p>
        </w:tc>
        <w:tc>
          <w:tcPr>
            <w:tcW w:w="1200" w:type="dxa"/>
          </w:tcPr>
          <w:p w:rsidR="00000000" w:rsidRDefault="00A63A03">
            <w:r>
              <w:t>.28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72" w:type="dxa"/>
          </w:tcPr>
          <w:p w:rsidR="00000000" w:rsidRDefault="00A63A03">
            <w:r>
              <w:t>talk</w:t>
            </w:r>
          </w:p>
        </w:tc>
        <w:tc>
          <w:tcPr>
            <w:tcW w:w="1200" w:type="dxa"/>
          </w:tcPr>
          <w:p w:rsidR="00000000" w:rsidRDefault="00A63A03">
            <w:r>
              <w:t>.50</w:t>
            </w:r>
          </w:p>
        </w:tc>
      </w:tr>
    </w:tbl>
    <w:p w:rsidR="00000000" w:rsidRDefault="00A63A03">
      <w:pPr>
        <w:ind w:left="720"/>
      </w:pPr>
      <w:r>
        <w:t xml:space="preserve">  </w:t>
      </w:r>
    </w:p>
    <w:p w:rsidR="00000000" w:rsidRDefault="00A63A03">
      <w:pPr>
        <w:ind w:left="720"/>
      </w:pPr>
    </w:p>
    <w:p w:rsidR="00000000" w:rsidRDefault="00A63A03">
      <w:pPr>
        <w:rPr>
          <w:rFonts w:ascii="Courier New" w:hAnsi="Courier New"/>
        </w:rPr>
      </w:pPr>
    </w:p>
    <w:p w:rsidR="00000000" w:rsidRDefault="00A63A03">
      <w:pPr>
        <w:rPr>
          <w:rFonts w:ascii="Courier New" w:hAnsi="Courier New"/>
        </w:rPr>
      </w:pP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A…historical component.</w:t>
      </w:r>
    </w:p>
  </w:comment>
  <w:comment w:id="2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D.</w:t>
      </w:r>
    </w:p>
  </w:comment>
  <w:comment w:id="3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D.</w:t>
      </w:r>
    </w:p>
  </w:comment>
  <w:comment w:id="4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</w:p>
  </w:comment>
  <w:comment w:id="5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C…but you're not responsible for exponential smoothing in F99.</w:t>
      </w:r>
    </w:p>
  </w:comment>
  <w:comment w:id="6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E.</w:t>
      </w:r>
    </w:p>
  </w:comment>
  <w:comment w:id="7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A.</w:t>
      </w:r>
    </w:p>
  </w:comment>
  <w:comment w:id="8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D.</w:t>
      </w:r>
    </w:p>
  </w:comment>
  <w:comment w:id="9" w:author="Scott Stevens" w:initials="SPS">
    <w:p w:rsidR="00000000" w:rsidRDefault="00A63A03">
      <w:pPr>
        <w:pStyle w:val="CommentText"/>
      </w:pPr>
      <w:r>
        <w:fldChar w:fldCharType="begin"/>
      </w:r>
      <w:r>
        <w:instrText>PA</w:instrText>
      </w:r>
      <w:r>
        <w:instrText>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Right!  .14*7 = .98, which is less than 1.  </w:t>
      </w:r>
    </w:p>
  </w:comment>
  <w:comment w:id="10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Wrong answer, since when D = 0, H does = 1.4.</w:t>
      </w:r>
    </w:p>
  </w:comment>
  <w:comment w:id="11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Wrong answer.  The linear relation is saying it grows .14 inches a day.</w:t>
      </w:r>
    </w:p>
  </w:comment>
  <w:comment w:id="12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</w:instrText>
      </w:r>
      <w:r>
        <w:instrText>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Wrong answer…it grows taller by 0.14 inches each day.</w:t>
      </w:r>
    </w:p>
  </w:comment>
  <w:comment w:id="13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Wrong answer…when D = 1, H = 1.54.</w:t>
      </w:r>
    </w:p>
  </w:comment>
  <w:comment w:id="14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A.</w:t>
      </w:r>
    </w:p>
  </w:comment>
  <w:comment w:id="15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A.  But you don't have to do this problem in F99.</w:t>
      </w:r>
    </w:p>
  </w:comment>
  <w:comment w:id="16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</w:r>
      <w:r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E.</w:t>
      </w:r>
    </w:p>
  </w:comment>
  <w:comment w:id="17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(4 + 16 + 4 + 16)/4 = 10, so the answer is B.</w:t>
      </w:r>
    </w:p>
  </w:comment>
  <w:comment w:id="18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(2 + 4 + 2 + 4)/4 = 3, so the answer is A. </w:t>
      </w:r>
    </w:p>
  </w:comment>
  <w:comment w:id="19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 is not true.  MSE is measured in units which are the SQUARE of the units o</w:t>
      </w:r>
      <w:r>
        <w:t>f measurement.</w:t>
      </w:r>
    </w:p>
  </w:comment>
  <w:comment w:id="20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Yes.</w:t>
      </w:r>
    </w:p>
  </w:comment>
  <w:comment w:id="21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1/</w:t>
      </w:r>
      <w:r>
        <w:rPr>
          <w:rFonts w:ascii="Symbol" w:hAnsi="Symbol"/>
        </w:rPr>
        <w:t></w:t>
      </w:r>
      <w:r>
        <w:t>.</w:t>
      </w:r>
    </w:p>
  </w:comment>
  <w:comment w:id="22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1/</w:t>
      </w:r>
      <w:r>
        <w:rPr>
          <w:rFonts w:ascii="Symbol" w:hAnsi="Symbol"/>
        </w:rPr>
        <w:t></w:t>
      </w:r>
      <w:r>
        <w:t>.</w:t>
      </w:r>
    </w:p>
  </w:comment>
  <w:comment w:id="23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P</w:t>
      </w:r>
      <w:r>
        <w:t>o</w:t>
      </w:r>
    </w:p>
  </w:comment>
  <w:comment w:id="24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called rho, and we didn't discuss it.</w:t>
      </w:r>
    </w:p>
  </w:comment>
  <w:comment w:id="25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1/</w:t>
      </w:r>
      <w:r>
        <w:rPr>
          <w:rFonts w:ascii="Symbol" w:hAnsi="Symbol"/>
        </w:rPr>
        <w:t></w:t>
      </w:r>
    </w:p>
  </w:comment>
  <w:comment w:id="26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That's </w:t>
      </w:r>
      <w:r>
        <w:rPr>
          <w:rFonts w:ascii="Symbol" w:hAnsi="Symbol"/>
        </w:rPr>
        <w:t></w:t>
      </w:r>
      <w:r>
        <w:t>.</w:t>
      </w:r>
    </w:p>
  </w:comment>
  <w:comment w:id="27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We don't have a symbol for this.  It would be P1 + 2P2 + … + (k-1</w:t>
      </w:r>
      <w:proofErr w:type="gramStart"/>
      <w:r>
        <w:t>)Pk</w:t>
      </w:r>
      <w:proofErr w:type="gramEnd"/>
      <w:r>
        <w:t>-1 + (1-P1-P</w:t>
      </w:r>
      <w:r>
        <w:t>2-….-Pk-1)k.</w:t>
      </w:r>
    </w:p>
  </w:comment>
  <w:comment w:id="28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Yes.  These fires are in the system.</w:t>
      </w:r>
    </w:p>
  </w:comment>
  <w:comment w:id="29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W.</w:t>
      </w:r>
    </w:p>
  </w:comment>
  <w:comment w:id="30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No.</w:t>
      </w:r>
    </w:p>
  </w:comment>
  <w:comment w:id="31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This varies.</w:t>
      </w:r>
    </w:p>
  </w:comment>
  <w:comment w:id="32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Yes.</w:t>
      </w:r>
    </w:p>
  </w:comment>
  <w:comment w:id="33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This is actu</w:t>
      </w:r>
      <w:r>
        <w:t xml:space="preserve">ally </w:t>
      </w:r>
      <w:r>
        <w:rPr>
          <w:rFonts w:ascii="Symbol" w:hAnsi="Symbol"/>
        </w:rPr>
        <w:t></w:t>
      </w:r>
      <w:r>
        <w:t>.</w:t>
      </w:r>
    </w:p>
  </w:comment>
  <w:comment w:id="34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That's Wq.</w:t>
      </w:r>
    </w:p>
  </w:comment>
  <w:comment w:id="35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A.</w:t>
      </w:r>
    </w:p>
  </w:comment>
  <w:comment w:id="36" w:author="Scott Stevens" w:initials="SPS">
    <w:p w:rsidR="00000000" w:rsidRDefault="00A63A0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proofErr w:type="gramStart"/>
      <w:r>
        <w:t>C.  (</w:t>
      </w:r>
      <w:proofErr w:type="gramEnd"/>
      <w:r>
        <w:t>.1-.22- is "no answer".)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E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8B6C9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B7780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D6768A"/>
    <w:multiLevelType w:val="singleLevel"/>
    <w:tmpl w:val="17A2EABC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26071614"/>
    <w:multiLevelType w:val="singleLevel"/>
    <w:tmpl w:val="4772612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51747F9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8A401B"/>
    <w:multiLevelType w:val="singleLevel"/>
    <w:tmpl w:val="26A632BA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F1439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C05F1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5151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32768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2D7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03"/>
    <w:rsid w:val="00A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B48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63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63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291                                    Name                          </vt:lpstr>
    </vt:vector>
  </TitlesOfParts>
  <Company>Dell Computer Corporation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291                                    Name</dc:title>
  <dc:creator>Dr. Scott Stevens</dc:creator>
  <cp:lastModifiedBy>Scott</cp:lastModifiedBy>
  <cp:revision>2</cp:revision>
  <cp:lastPrinted>1997-05-30T02:30:00Z</cp:lastPrinted>
  <dcterms:created xsi:type="dcterms:W3CDTF">2012-06-06T20:08:00Z</dcterms:created>
  <dcterms:modified xsi:type="dcterms:W3CDTF">2012-06-06T20:08:00Z</dcterms:modified>
</cp:coreProperties>
</file>